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60" w:rsidRDefault="00E42660">
      <w:pPr>
        <w:rPr>
          <w:sz w:val="28"/>
          <w:szCs w:val="28"/>
        </w:rPr>
      </w:pPr>
    </w:p>
    <w:p w:rsidR="00E42660" w:rsidRDefault="00E42660">
      <w:pPr>
        <w:rPr>
          <w:sz w:val="28"/>
          <w:szCs w:val="28"/>
        </w:rPr>
      </w:pPr>
    </w:p>
    <w:p w:rsidR="001F37AA" w:rsidRPr="00E8565C" w:rsidRDefault="00147C88">
      <w:pPr>
        <w:rPr>
          <w:b/>
          <w:sz w:val="28"/>
          <w:szCs w:val="28"/>
        </w:rPr>
      </w:pPr>
      <w:r w:rsidRPr="00E8565C">
        <w:rPr>
          <w:b/>
          <w:sz w:val="28"/>
          <w:szCs w:val="28"/>
        </w:rPr>
        <w:t>Merton Safeguarding Adults Boar</w:t>
      </w:r>
      <w:r w:rsidR="00737E6E" w:rsidRPr="00E8565C">
        <w:rPr>
          <w:b/>
          <w:sz w:val="28"/>
          <w:szCs w:val="28"/>
        </w:rPr>
        <w:t>d</w:t>
      </w:r>
      <w:r w:rsidR="00737E6E" w:rsidRPr="00E8565C">
        <w:rPr>
          <w:b/>
          <w:sz w:val="28"/>
          <w:szCs w:val="28"/>
        </w:rPr>
        <w:tab/>
        <w:t>Annual Business Plan 2019-20</w:t>
      </w:r>
    </w:p>
    <w:p w:rsidR="00147C88" w:rsidRDefault="00147C88"/>
    <w:p w:rsidR="00147C88" w:rsidRPr="00E8565C" w:rsidRDefault="00147C88">
      <w:pPr>
        <w:rPr>
          <w:b/>
          <w:sz w:val="24"/>
          <w:szCs w:val="24"/>
        </w:rPr>
      </w:pPr>
      <w:r w:rsidRPr="00E8565C">
        <w:rPr>
          <w:b/>
          <w:sz w:val="24"/>
          <w:szCs w:val="24"/>
        </w:rPr>
        <w:t>Priority 1:</w:t>
      </w:r>
    </w:p>
    <w:p w:rsidR="00147C88" w:rsidRPr="00E8565C" w:rsidRDefault="00147C88">
      <w:pPr>
        <w:rPr>
          <w:b/>
          <w:sz w:val="24"/>
          <w:szCs w:val="24"/>
        </w:rPr>
      </w:pPr>
      <w:r w:rsidRPr="00E8565C">
        <w:rPr>
          <w:b/>
          <w:sz w:val="24"/>
          <w:szCs w:val="24"/>
        </w:rPr>
        <w:t>We will ensure that partner agencies work together to prevent abuse and protect adults at risk of abuse and neglect.</w:t>
      </w:r>
    </w:p>
    <w:p w:rsidR="00147C88" w:rsidRPr="00E8565C" w:rsidRDefault="00147C88" w:rsidP="00147C88">
      <w:pPr>
        <w:rPr>
          <w:b/>
        </w:rPr>
      </w:pPr>
    </w:p>
    <w:tbl>
      <w:tblPr>
        <w:tblStyle w:val="TableGrid"/>
        <w:tblW w:w="0" w:type="auto"/>
        <w:tblLook w:val="04A0" w:firstRow="1" w:lastRow="0" w:firstColumn="1" w:lastColumn="0" w:noHBand="0" w:noVBand="1"/>
      </w:tblPr>
      <w:tblGrid>
        <w:gridCol w:w="2278"/>
        <w:gridCol w:w="2430"/>
        <w:gridCol w:w="2351"/>
        <w:gridCol w:w="2390"/>
        <w:gridCol w:w="2456"/>
        <w:gridCol w:w="2043"/>
      </w:tblGrid>
      <w:tr w:rsidR="0023655B" w:rsidRPr="00147C88" w:rsidTr="0023655B">
        <w:tc>
          <w:tcPr>
            <w:tcW w:w="2278" w:type="dxa"/>
            <w:shd w:val="clear" w:color="auto" w:fill="FFC000"/>
          </w:tcPr>
          <w:p w:rsidR="0023655B" w:rsidRPr="00147C88" w:rsidRDefault="0023655B" w:rsidP="00147C88">
            <w:r w:rsidRPr="00147C88">
              <w:t>Outcome</w:t>
            </w:r>
          </w:p>
        </w:tc>
        <w:tc>
          <w:tcPr>
            <w:tcW w:w="2430" w:type="dxa"/>
            <w:shd w:val="clear" w:color="auto" w:fill="FFC000"/>
          </w:tcPr>
          <w:p w:rsidR="0023655B" w:rsidRPr="00147C88" w:rsidRDefault="0023655B" w:rsidP="00147C88">
            <w:r w:rsidRPr="00147C88">
              <w:t>Action</w:t>
            </w:r>
          </w:p>
        </w:tc>
        <w:tc>
          <w:tcPr>
            <w:tcW w:w="2351" w:type="dxa"/>
            <w:shd w:val="clear" w:color="auto" w:fill="FFC000"/>
          </w:tcPr>
          <w:p w:rsidR="0023655B" w:rsidRPr="00147C88" w:rsidRDefault="0023655B" w:rsidP="00147C88">
            <w:r w:rsidRPr="00147C88">
              <w:t>Lead</w:t>
            </w:r>
          </w:p>
        </w:tc>
        <w:tc>
          <w:tcPr>
            <w:tcW w:w="2390" w:type="dxa"/>
            <w:shd w:val="clear" w:color="auto" w:fill="FFC000"/>
          </w:tcPr>
          <w:p w:rsidR="0023655B" w:rsidRPr="00147C88" w:rsidRDefault="0023655B" w:rsidP="00147C88">
            <w:r>
              <w:t>Target date</w:t>
            </w:r>
          </w:p>
        </w:tc>
        <w:tc>
          <w:tcPr>
            <w:tcW w:w="2456" w:type="dxa"/>
            <w:shd w:val="clear" w:color="auto" w:fill="FFC000"/>
          </w:tcPr>
          <w:p w:rsidR="0023655B" w:rsidRDefault="0023655B" w:rsidP="00147C88">
            <w:r>
              <w:t>Success criteria</w:t>
            </w:r>
          </w:p>
        </w:tc>
        <w:tc>
          <w:tcPr>
            <w:tcW w:w="2043" w:type="dxa"/>
            <w:shd w:val="clear" w:color="auto" w:fill="FFC000"/>
          </w:tcPr>
          <w:p w:rsidR="0023655B" w:rsidRDefault="0023655B" w:rsidP="00147C88">
            <w:r>
              <w:t>RAG rating</w:t>
            </w:r>
          </w:p>
        </w:tc>
      </w:tr>
      <w:tr w:rsidR="0023655B" w:rsidTr="0023655B">
        <w:tc>
          <w:tcPr>
            <w:tcW w:w="2278" w:type="dxa"/>
          </w:tcPr>
          <w:p w:rsidR="0023655B" w:rsidRPr="00E66FE2" w:rsidRDefault="0023655B" w:rsidP="00E66FE2">
            <w:pPr>
              <w:pStyle w:val="ListParagraph"/>
              <w:numPr>
                <w:ilvl w:val="0"/>
                <w:numId w:val="1"/>
              </w:numPr>
              <w:rPr>
                <w:sz w:val="24"/>
                <w:szCs w:val="24"/>
              </w:rPr>
            </w:pPr>
            <w:r w:rsidRPr="00E66FE2">
              <w:rPr>
                <w:sz w:val="24"/>
                <w:szCs w:val="24"/>
              </w:rPr>
              <w:t xml:space="preserve">Inter-agency safeguarding protocols in place to ensure risks are managed across the partnership; operational actions and interventions are co-ordinated; partners receive </w:t>
            </w:r>
            <w:r w:rsidRPr="00E66FE2">
              <w:rPr>
                <w:sz w:val="24"/>
                <w:szCs w:val="24"/>
              </w:rPr>
              <w:lastRenderedPageBreak/>
              <w:t>feedback on outcomes of referrals</w:t>
            </w:r>
          </w:p>
          <w:p w:rsidR="0023655B" w:rsidRDefault="0023655B">
            <w:pPr>
              <w:rPr>
                <w:sz w:val="24"/>
                <w:szCs w:val="24"/>
              </w:rPr>
            </w:pPr>
          </w:p>
          <w:p w:rsidR="0023655B" w:rsidRDefault="0023655B">
            <w:pPr>
              <w:rPr>
                <w:sz w:val="24"/>
                <w:szCs w:val="24"/>
              </w:rPr>
            </w:pPr>
          </w:p>
        </w:tc>
        <w:tc>
          <w:tcPr>
            <w:tcW w:w="2430" w:type="dxa"/>
          </w:tcPr>
          <w:p w:rsidR="0023655B" w:rsidRPr="006933A3" w:rsidRDefault="006933A3" w:rsidP="006933A3">
            <w:pPr>
              <w:rPr>
                <w:sz w:val="24"/>
                <w:szCs w:val="24"/>
              </w:rPr>
            </w:pPr>
            <w:r>
              <w:rPr>
                <w:sz w:val="24"/>
                <w:szCs w:val="24"/>
              </w:rPr>
              <w:lastRenderedPageBreak/>
              <w:t xml:space="preserve">1a.  </w:t>
            </w:r>
            <w:r w:rsidR="0023655B" w:rsidRPr="006933A3">
              <w:rPr>
                <w:sz w:val="24"/>
                <w:szCs w:val="24"/>
              </w:rPr>
              <w:t>Task and finish group (Effectiveness) set up to progress this priority;</w:t>
            </w:r>
          </w:p>
          <w:p w:rsidR="0023655B" w:rsidRDefault="0023655B">
            <w:pPr>
              <w:rPr>
                <w:sz w:val="24"/>
                <w:szCs w:val="24"/>
              </w:rPr>
            </w:pPr>
          </w:p>
          <w:p w:rsidR="0023655B" w:rsidRPr="006933A3" w:rsidRDefault="006933A3" w:rsidP="006933A3">
            <w:pPr>
              <w:rPr>
                <w:sz w:val="24"/>
                <w:szCs w:val="24"/>
              </w:rPr>
            </w:pPr>
            <w:r>
              <w:rPr>
                <w:sz w:val="24"/>
                <w:szCs w:val="24"/>
              </w:rPr>
              <w:t xml:space="preserve">1b.  </w:t>
            </w:r>
            <w:r w:rsidR="0023655B" w:rsidRPr="006933A3">
              <w:rPr>
                <w:sz w:val="24"/>
                <w:szCs w:val="24"/>
              </w:rPr>
              <w:t>Protocol to be developed and agreed.</w:t>
            </w:r>
          </w:p>
          <w:p w:rsidR="0023655B" w:rsidRDefault="0023655B">
            <w:pPr>
              <w:rPr>
                <w:sz w:val="24"/>
                <w:szCs w:val="24"/>
              </w:rPr>
            </w:pPr>
          </w:p>
          <w:p w:rsidR="0023655B" w:rsidRDefault="0023655B">
            <w:pPr>
              <w:rPr>
                <w:sz w:val="24"/>
                <w:szCs w:val="24"/>
              </w:rPr>
            </w:pPr>
          </w:p>
          <w:p w:rsidR="0023655B" w:rsidRDefault="0023655B">
            <w:pPr>
              <w:rPr>
                <w:sz w:val="24"/>
                <w:szCs w:val="24"/>
              </w:rPr>
            </w:pPr>
          </w:p>
        </w:tc>
        <w:tc>
          <w:tcPr>
            <w:tcW w:w="2351" w:type="dxa"/>
          </w:tcPr>
          <w:p w:rsidR="0023655B" w:rsidRDefault="0023655B">
            <w:pPr>
              <w:rPr>
                <w:sz w:val="24"/>
                <w:szCs w:val="24"/>
              </w:rPr>
            </w:pPr>
            <w:r>
              <w:rPr>
                <w:sz w:val="24"/>
                <w:szCs w:val="24"/>
              </w:rPr>
              <w:t>Effectiveness Task and Finish Group</w:t>
            </w:r>
          </w:p>
        </w:tc>
        <w:tc>
          <w:tcPr>
            <w:tcW w:w="2390" w:type="dxa"/>
          </w:tcPr>
          <w:p w:rsidR="0023655B" w:rsidRDefault="00011455">
            <w:pPr>
              <w:rPr>
                <w:sz w:val="24"/>
                <w:szCs w:val="24"/>
              </w:rPr>
            </w:pPr>
            <w:r>
              <w:rPr>
                <w:sz w:val="24"/>
                <w:szCs w:val="24"/>
              </w:rPr>
              <w:t>December 2019</w:t>
            </w:r>
          </w:p>
        </w:tc>
        <w:tc>
          <w:tcPr>
            <w:tcW w:w="2456" w:type="dxa"/>
          </w:tcPr>
          <w:p w:rsidR="0023655B" w:rsidRDefault="0023655B">
            <w:pPr>
              <w:rPr>
                <w:sz w:val="24"/>
                <w:szCs w:val="24"/>
              </w:rPr>
            </w:pPr>
            <w:r>
              <w:rPr>
                <w:sz w:val="24"/>
                <w:szCs w:val="24"/>
              </w:rPr>
              <w:t xml:space="preserve">Protocol agreed </w:t>
            </w:r>
          </w:p>
        </w:tc>
        <w:tc>
          <w:tcPr>
            <w:tcW w:w="2043" w:type="dxa"/>
          </w:tcPr>
          <w:p w:rsidR="0023655B" w:rsidRDefault="0023655B">
            <w:pPr>
              <w:rPr>
                <w:sz w:val="24"/>
                <w:szCs w:val="24"/>
              </w:rPr>
            </w:pPr>
          </w:p>
        </w:tc>
      </w:tr>
      <w:tr w:rsidR="0023655B" w:rsidTr="0023655B">
        <w:tc>
          <w:tcPr>
            <w:tcW w:w="2278" w:type="dxa"/>
          </w:tcPr>
          <w:p w:rsidR="0023655B" w:rsidRPr="00E66FE2" w:rsidRDefault="0023655B" w:rsidP="00727395">
            <w:pPr>
              <w:pStyle w:val="ListParagraph"/>
              <w:numPr>
                <w:ilvl w:val="0"/>
                <w:numId w:val="1"/>
              </w:numPr>
              <w:rPr>
                <w:sz w:val="24"/>
                <w:szCs w:val="24"/>
              </w:rPr>
            </w:pPr>
            <w:r w:rsidRPr="00E66FE2">
              <w:rPr>
                <w:i/>
                <w:sz w:val="24"/>
                <w:szCs w:val="24"/>
              </w:rPr>
              <w:t>Think Family/Think Community</w:t>
            </w:r>
            <w:r w:rsidRPr="00E66FE2">
              <w:rPr>
                <w:sz w:val="24"/>
                <w:szCs w:val="24"/>
              </w:rPr>
              <w:t xml:space="preserve"> principles are applied consistently by partner agencies</w:t>
            </w:r>
          </w:p>
        </w:tc>
        <w:tc>
          <w:tcPr>
            <w:tcW w:w="2430" w:type="dxa"/>
          </w:tcPr>
          <w:p w:rsidR="0023655B" w:rsidRPr="006933A3" w:rsidRDefault="006933A3" w:rsidP="006933A3">
            <w:pPr>
              <w:rPr>
                <w:sz w:val="24"/>
                <w:szCs w:val="24"/>
              </w:rPr>
            </w:pPr>
            <w:r>
              <w:rPr>
                <w:sz w:val="24"/>
                <w:szCs w:val="24"/>
              </w:rPr>
              <w:t xml:space="preserve">2a.  </w:t>
            </w:r>
            <w:r w:rsidR="0023655B" w:rsidRPr="006933A3">
              <w:rPr>
                <w:sz w:val="24"/>
                <w:szCs w:val="24"/>
              </w:rPr>
              <w:t>Areas for action identified by the joint Think Family Conference (March 2018) are agreed and form an action plan;</w:t>
            </w:r>
          </w:p>
          <w:p w:rsidR="0023655B" w:rsidRDefault="0023655B">
            <w:pPr>
              <w:rPr>
                <w:sz w:val="24"/>
                <w:szCs w:val="24"/>
              </w:rPr>
            </w:pPr>
          </w:p>
          <w:p w:rsidR="0023655B" w:rsidRPr="006933A3" w:rsidRDefault="006933A3" w:rsidP="006933A3">
            <w:pPr>
              <w:rPr>
                <w:sz w:val="24"/>
                <w:szCs w:val="24"/>
              </w:rPr>
            </w:pPr>
            <w:r>
              <w:rPr>
                <w:sz w:val="24"/>
                <w:szCs w:val="24"/>
              </w:rPr>
              <w:t xml:space="preserve">2b.  </w:t>
            </w:r>
            <w:r w:rsidR="0023655B" w:rsidRPr="006933A3">
              <w:rPr>
                <w:sz w:val="24"/>
                <w:szCs w:val="24"/>
              </w:rPr>
              <w:t xml:space="preserve">Independent Chair meets regularly with Chairs of related partnership Boards (CSAB, H&amp;WBB, CSPB) to identify shared priorities, maximise opportunities for joint approaches and minimise duplication of effort </w:t>
            </w:r>
          </w:p>
          <w:p w:rsidR="0023655B" w:rsidRDefault="0023655B">
            <w:pPr>
              <w:rPr>
                <w:sz w:val="24"/>
                <w:szCs w:val="24"/>
              </w:rPr>
            </w:pPr>
          </w:p>
          <w:p w:rsidR="0023655B" w:rsidRDefault="0023655B">
            <w:pPr>
              <w:rPr>
                <w:sz w:val="24"/>
                <w:szCs w:val="24"/>
              </w:rPr>
            </w:pPr>
          </w:p>
          <w:p w:rsidR="0023655B" w:rsidRDefault="0023655B">
            <w:pPr>
              <w:rPr>
                <w:sz w:val="24"/>
                <w:szCs w:val="24"/>
              </w:rPr>
            </w:pPr>
          </w:p>
        </w:tc>
        <w:tc>
          <w:tcPr>
            <w:tcW w:w="2351" w:type="dxa"/>
          </w:tcPr>
          <w:p w:rsidR="0023655B" w:rsidRDefault="0023655B">
            <w:pPr>
              <w:rPr>
                <w:sz w:val="24"/>
                <w:szCs w:val="24"/>
              </w:rPr>
            </w:pPr>
            <w:r>
              <w:rPr>
                <w:sz w:val="24"/>
                <w:szCs w:val="24"/>
              </w:rPr>
              <w:t>Think Family and Safeguarding Leads</w:t>
            </w: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r>
              <w:rPr>
                <w:sz w:val="24"/>
                <w:szCs w:val="24"/>
              </w:rPr>
              <w:t>Independent Chair</w:t>
            </w:r>
          </w:p>
        </w:tc>
        <w:tc>
          <w:tcPr>
            <w:tcW w:w="2390" w:type="dxa"/>
          </w:tcPr>
          <w:p w:rsidR="0023655B" w:rsidRDefault="00011455">
            <w:pPr>
              <w:rPr>
                <w:sz w:val="24"/>
                <w:szCs w:val="24"/>
              </w:rPr>
            </w:pPr>
            <w:r>
              <w:rPr>
                <w:sz w:val="24"/>
                <w:szCs w:val="24"/>
              </w:rPr>
              <w:t>September 2019</w:t>
            </w: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011455">
            <w:pPr>
              <w:rPr>
                <w:sz w:val="24"/>
                <w:szCs w:val="24"/>
              </w:rPr>
            </w:pPr>
            <w:r>
              <w:rPr>
                <w:sz w:val="24"/>
                <w:szCs w:val="24"/>
              </w:rPr>
              <w:t>September 2019</w:t>
            </w:r>
          </w:p>
        </w:tc>
        <w:tc>
          <w:tcPr>
            <w:tcW w:w="2456" w:type="dxa"/>
          </w:tcPr>
          <w:p w:rsidR="0023655B" w:rsidRDefault="0023655B">
            <w:pPr>
              <w:rPr>
                <w:sz w:val="24"/>
                <w:szCs w:val="24"/>
              </w:rPr>
            </w:pPr>
            <w:r>
              <w:rPr>
                <w:sz w:val="24"/>
                <w:szCs w:val="24"/>
              </w:rPr>
              <w:t>Action plan implemented</w:t>
            </w: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r>
              <w:rPr>
                <w:sz w:val="24"/>
                <w:szCs w:val="24"/>
              </w:rPr>
              <w:t>Regular partnership Chairs meetings established</w:t>
            </w:r>
          </w:p>
        </w:tc>
        <w:tc>
          <w:tcPr>
            <w:tcW w:w="2043" w:type="dxa"/>
          </w:tcPr>
          <w:p w:rsidR="0023655B" w:rsidRDefault="0023655B">
            <w:pPr>
              <w:rPr>
                <w:sz w:val="24"/>
                <w:szCs w:val="24"/>
              </w:rPr>
            </w:pPr>
          </w:p>
        </w:tc>
      </w:tr>
      <w:tr w:rsidR="0023655B" w:rsidTr="0023655B">
        <w:tc>
          <w:tcPr>
            <w:tcW w:w="2278" w:type="dxa"/>
          </w:tcPr>
          <w:p w:rsidR="0023655B" w:rsidRPr="00E66FE2" w:rsidRDefault="0023655B" w:rsidP="00727395">
            <w:pPr>
              <w:pStyle w:val="ListParagraph"/>
              <w:numPr>
                <w:ilvl w:val="0"/>
                <w:numId w:val="1"/>
              </w:numPr>
              <w:rPr>
                <w:sz w:val="24"/>
                <w:szCs w:val="24"/>
              </w:rPr>
            </w:pPr>
            <w:r w:rsidRPr="00E66FE2">
              <w:rPr>
                <w:sz w:val="24"/>
                <w:szCs w:val="24"/>
              </w:rPr>
              <w:lastRenderedPageBreak/>
              <w:t>MSAB membership is fit for purpose and reflects a wide and varied group of stakeholders</w:t>
            </w:r>
          </w:p>
          <w:p w:rsidR="0023655B" w:rsidRDefault="0023655B">
            <w:pPr>
              <w:rPr>
                <w:sz w:val="24"/>
                <w:szCs w:val="24"/>
              </w:rPr>
            </w:pPr>
          </w:p>
          <w:p w:rsidR="0023655B" w:rsidRDefault="0023655B">
            <w:pPr>
              <w:rPr>
                <w:sz w:val="24"/>
                <w:szCs w:val="24"/>
              </w:rPr>
            </w:pPr>
          </w:p>
        </w:tc>
        <w:tc>
          <w:tcPr>
            <w:tcW w:w="2430" w:type="dxa"/>
          </w:tcPr>
          <w:p w:rsidR="0023655B" w:rsidRPr="006933A3" w:rsidRDefault="006933A3" w:rsidP="006933A3">
            <w:pPr>
              <w:rPr>
                <w:sz w:val="24"/>
                <w:szCs w:val="24"/>
              </w:rPr>
            </w:pPr>
            <w:r>
              <w:rPr>
                <w:sz w:val="24"/>
                <w:szCs w:val="24"/>
              </w:rPr>
              <w:t xml:space="preserve">3a.  </w:t>
            </w:r>
            <w:r w:rsidR="0023655B" w:rsidRPr="006933A3">
              <w:rPr>
                <w:sz w:val="24"/>
                <w:szCs w:val="24"/>
              </w:rPr>
              <w:t xml:space="preserve">Review the membership of MSAB to ensure all relevant sectors are represented, including advocacy, service users and carers; </w:t>
            </w:r>
          </w:p>
          <w:p w:rsidR="0023655B" w:rsidRDefault="0023655B">
            <w:pPr>
              <w:rPr>
                <w:sz w:val="24"/>
                <w:szCs w:val="24"/>
              </w:rPr>
            </w:pPr>
          </w:p>
          <w:p w:rsidR="0023655B" w:rsidRPr="006933A3" w:rsidRDefault="006933A3" w:rsidP="006933A3">
            <w:pPr>
              <w:rPr>
                <w:sz w:val="24"/>
                <w:szCs w:val="24"/>
              </w:rPr>
            </w:pPr>
            <w:r>
              <w:rPr>
                <w:sz w:val="24"/>
                <w:szCs w:val="24"/>
              </w:rPr>
              <w:t xml:space="preserve">3b.  </w:t>
            </w:r>
            <w:r w:rsidR="0023655B" w:rsidRPr="006933A3">
              <w:rPr>
                <w:sz w:val="24"/>
                <w:szCs w:val="24"/>
              </w:rPr>
              <w:t>Develop and agree job descriptions for MSAB members to clarify roles, responsibility and accountability;</w:t>
            </w:r>
          </w:p>
          <w:p w:rsidR="0023655B" w:rsidRDefault="0023655B">
            <w:pPr>
              <w:rPr>
                <w:sz w:val="24"/>
                <w:szCs w:val="24"/>
              </w:rPr>
            </w:pPr>
          </w:p>
          <w:p w:rsidR="0023655B" w:rsidRDefault="0023655B">
            <w:pPr>
              <w:rPr>
                <w:sz w:val="24"/>
                <w:szCs w:val="24"/>
              </w:rPr>
            </w:pPr>
          </w:p>
        </w:tc>
        <w:tc>
          <w:tcPr>
            <w:tcW w:w="2351" w:type="dxa"/>
          </w:tcPr>
          <w:p w:rsidR="0023655B" w:rsidRDefault="0023655B" w:rsidP="00FE242D">
            <w:pPr>
              <w:rPr>
                <w:sz w:val="24"/>
                <w:szCs w:val="24"/>
              </w:rPr>
            </w:pPr>
            <w:r>
              <w:rPr>
                <w:sz w:val="24"/>
                <w:szCs w:val="24"/>
              </w:rPr>
              <w:t>MSAB and Board Business Manager</w:t>
            </w:r>
          </w:p>
        </w:tc>
        <w:tc>
          <w:tcPr>
            <w:tcW w:w="2390" w:type="dxa"/>
          </w:tcPr>
          <w:p w:rsidR="0023655B" w:rsidRDefault="00011455">
            <w:pPr>
              <w:rPr>
                <w:sz w:val="24"/>
                <w:szCs w:val="24"/>
              </w:rPr>
            </w:pPr>
            <w:r>
              <w:rPr>
                <w:sz w:val="24"/>
                <w:szCs w:val="24"/>
              </w:rPr>
              <w:t>June 2019</w:t>
            </w:r>
          </w:p>
        </w:tc>
        <w:tc>
          <w:tcPr>
            <w:tcW w:w="2456" w:type="dxa"/>
          </w:tcPr>
          <w:p w:rsidR="0023655B" w:rsidRDefault="0023655B">
            <w:pPr>
              <w:rPr>
                <w:sz w:val="24"/>
                <w:szCs w:val="24"/>
              </w:rPr>
            </w:pPr>
            <w:r>
              <w:rPr>
                <w:sz w:val="24"/>
                <w:szCs w:val="24"/>
              </w:rPr>
              <w:t>Membership is reviewed and revised accordingly;</w:t>
            </w: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r>
              <w:rPr>
                <w:sz w:val="24"/>
                <w:szCs w:val="24"/>
              </w:rPr>
              <w:t>MSAB job descriptions agreed</w:t>
            </w:r>
          </w:p>
        </w:tc>
        <w:tc>
          <w:tcPr>
            <w:tcW w:w="2043" w:type="dxa"/>
          </w:tcPr>
          <w:p w:rsidR="0023655B" w:rsidRDefault="0023655B">
            <w:pPr>
              <w:rPr>
                <w:sz w:val="24"/>
                <w:szCs w:val="24"/>
              </w:rPr>
            </w:pPr>
          </w:p>
          <w:p w:rsidR="008C22D5" w:rsidRDefault="008C22D5">
            <w:pPr>
              <w:rPr>
                <w:sz w:val="24"/>
                <w:szCs w:val="24"/>
              </w:rPr>
            </w:pPr>
          </w:p>
          <w:p w:rsidR="008C22D5" w:rsidRDefault="008C22D5">
            <w:pPr>
              <w:rPr>
                <w:sz w:val="24"/>
                <w:szCs w:val="24"/>
              </w:rPr>
            </w:pPr>
          </w:p>
          <w:p w:rsidR="008C22D5" w:rsidRDefault="008C22D5">
            <w:pPr>
              <w:rPr>
                <w:sz w:val="24"/>
                <w:szCs w:val="24"/>
              </w:rPr>
            </w:pPr>
          </w:p>
          <w:p w:rsidR="008C22D5" w:rsidRDefault="008C22D5">
            <w:pPr>
              <w:rPr>
                <w:sz w:val="24"/>
                <w:szCs w:val="24"/>
              </w:rPr>
            </w:pPr>
          </w:p>
          <w:p w:rsidR="008C22D5" w:rsidRDefault="008C22D5">
            <w:pPr>
              <w:rPr>
                <w:sz w:val="24"/>
                <w:szCs w:val="24"/>
              </w:rPr>
            </w:pPr>
          </w:p>
          <w:p w:rsidR="008C22D5" w:rsidRDefault="008C22D5">
            <w:pPr>
              <w:rPr>
                <w:sz w:val="24"/>
                <w:szCs w:val="24"/>
              </w:rPr>
            </w:pPr>
          </w:p>
          <w:p w:rsidR="008C22D5" w:rsidRDefault="008C22D5">
            <w:pPr>
              <w:rPr>
                <w:sz w:val="24"/>
                <w:szCs w:val="24"/>
              </w:rPr>
            </w:pPr>
          </w:p>
          <w:p w:rsidR="008C22D5" w:rsidRDefault="008C22D5">
            <w:pPr>
              <w:rPr>
                <w:sz w:val="24"/>
                <w:szCs w:val="24"/>
              </w:rPr>
            </w:pPr>
          </w:p>
          <w:p w:rsidR="008C22D5" w:rsidRDefault="008C22D5">
            <w:pPr>
              <w:rPr>
                <w:sz w:val="24"/>
                <w:szCs w:val="24"/>
              </w:rPr>
            </w:pPr>
          </w:p>
          <w:p w:rsidR="008C22D5" w:rsidRDefault="008C22D5">
            <w:pPr>
              <w:rPr>
                <w:sz w:val="24"/>
                <w:szCs w:val="24"/>
              </w:rPr>
            </w:pPr>
          </w:p>
          <w:p w:rsidR="008C22D5" w:rsidRDefault="008C22D5">
            <w:pPr>
              <w:rPr>
                <w:sz w:val="24"/>
                <w:szCs w:val="24"/>
              </w:rPr>
            </w:pPr>
          </w:p>
          <w:p w:rsidR="008C22D5" w:rsidRDefault="008C22D5">
            <w:pPr>
              <w:rPr>
                <w:sz w:val="24"/>
                <w:szCs w:val="24"/>
              </w:rPr>
            </w:pPr>
          </w:p>
          <w:p w:rsidR="008C22D5" w:rsidRDefault="008C22D5">
            <w:pPr>
              <w:rPr>
                <w:sz w:val="24"/>
                <w:szCs w:val="24"/>
              </w:rPr>
            </w:pPr>
          </w:p>
          <w:p w:rsidR="008C22D5" w:rsidRDefault="008C22D5">
            <w:pPr>
              <w:rPr>
                <w:sz w:val="24"/>
                <w:szCs w:val="24"/>
              </w:rPr>
            </w:pPr>
          </w:p>
          <w:p w:rsidR="008C22D5" w:rsidRDefault="008C22D5">
            <w:pPr>
              <w:rPr>
                <w:sz w:val="24"/>
                <w:szCs w:val="24"/>
              </w:rPr>
            </w:pPr>
          </w:p>
          <w:p w:rsidR="008C22D5" w:rsidRDefault="008C22D5">
            <w:pPr>
              <w:rPr>
                <w:sz w:val="24"/>
                <w:szCs w:val="24"/>
              </w:rPr>
            </w:pPr>
          </w:p>
        </w:tc>
      </w:tr>
      <w:tr w:rsidR="008C22D5" w:rsidTr="0023655B">
        <w:tc>
          <w:tcPr>
            <w:tcW w:w="2278" w:type="dxa"/>
          </w:tcPr>
          <w:p w:rsidR="008C22D5" w:rsidRPr="00E66FE2" w:rsidRDefault="008C22D5" w:rsidP="00727395">
            <w:pPr>
              <w:pStyle w:val="ListParagraph"/>
              <w:numPr>
                <w:ilvl w:val="0"/>
                <w:numId w:val="1"/>
              </w:numPr>
              <w:rPr>
                <w:sz w:val="24"/>
                <w:szCs w:val="24"/>
              </w:rPr>
            </w:pPr>
            <w:r>
              <w:rPr>
                <w:sz w:val="24"/>
                <w:szCs w:val="24"/>
              </w:rPr>
              <w:t>Partners work together to respond to Modern Slavery and Human Trafficking issues</w:t>
            </w:r>
          </w:p>
        </w:tc>
        <w:tc>
          <w:tcPr>
            <w:tcW w:w="2430" w:type="dxa"/>
          </w:tcPr>
          <w:p w:rsidR="008C22D5" w:rsidRPr="008C22D5" w:rsidRDefault="008C22D5" w:rsidP="008C22D5">
            <w:pPr>
              <w:pStyle w:val="ListParagraph"/>
              <w:numPr>
                <w:ilvl w:val="0"/>
                <w:numId w:val="16"/>
              </w:numPr>
              <w:rPr>
                <w:sz w:val="24"/>
                <w:szCs w:val="24"/>
              </w:rPr>
            </w:pPr>
            <w:r>
              <w:rPr>
                <w:sz w:val="24"/>
                <w:szCs w:val="24"/>
              </w:rPr>
              <w:t xml:space="preserve">Develop a protocol and strategic pathway for responding to Modern Slavery and Human Trafficking </w:t>
            </w:r>
          </w:p>
        </w:tc>
        <w:tc>
          <w:tcPr>
            <w:tcW w:w="2351" w:type="dxa"/>
          </w:tcPr>
          <w:p w:rsidR="008C22D5" w:rsidRDefault="008C22D5" w:rsidP="00FE242D">
            <w:pPr>
              <w:rPr>
                <w:sz w:val="24"/>
                <w:szCs w:val="24"/>
              </w:rPr>
            </w:pPr>
            <w:r>
              <w:rPr>
                <w:sz w:val="24"/>
                <w:szCs w:val="24"/>
              </w:rPr>
              <w:t>MSAB &amp; Safer Merton Business Managers</w:t>
            </w:r>
          </w:p>
        </w:tc>
        <w:tc>
          <w:tcPr>
            <w:tcW w:w="2390" w:type="dxa"/>
          </w:tcPr>
          <w:p w:rsidR="008C22D5" w:rsidRDefault="008C22D5">
            <w:pPr>
              <w:rPr>
                <w:sz w:val="24"/>
                <w:szCs w:val="24"/>
              </w:rPr>
            </w:pPr>
          </w:p>
        </w:tc>
        <w:tc>
          <w:tcPr>
            <w:tcW w:w="2456" w:type="dxa"/>
          </w:tcPr>
          <w:p w:rsidR="008C22D5" w:rsidRDefault="008C22D5">
            <w:pPr>
              <w:rPr>
                <w:sz w:val="24"/>
                <w:szCs w:val="24"/>
              </w:rPr>
            </w:pPr>
            <w:r>
              <w:rPr>
                <w:sz w:val="24"/>
                <w:szCs w:val="24"/>
              </w:rPr>
              <w:t>Protocol and strategic pathway in place</w:t>
            </w:r>
          </w:p>
        </w:tc>
        <w:tc>
          <w:tcPr>
            <w:tcW w:w="2043" w:type="dxa"/>
          </w:tcPr>
          <w:p w:rsidR="008C22D5" w:rsidRDefault="008C22D5">
            <w:pPr>
              <w:rPr>
                <w:sz w:val="24"/>
                <w:szCs w:val="24"/>
              </w:rPr>
            </w:pPr>
          </w:p>
        </w:tc>
      </w:tr>
    </w:tbl>
    <w:p w:rsidR="00DB58F4" w:rsidRDefault="00DB58F4">
      <w:pPr>
        <w:rPr>
          <w:sz w:val="24"/>
          <w:szCs w:val="24"/>
        </w:rPr>
      </w:pPr>
    </w:p>
    <w:p w:rsidR="00DB58F4" w:rsidRDefault="00DB58F4">
      <w:pPr>
        <w:rPr>
          <w:sz w:val="24"/>
          <w:szCs w:val="24"/>
        </w:rPr>
      </w:pPr>
    </w:p>
    <w:p w:rsidR="00147C88" w:rsidRPr="00E8565C" w:rsidRDefault="00147C88">
      <w:pPr>
        <w:rPr>
          <w:b/>
          <w:sz w:val="24"/>
          <w:szCs w:val="24"/>
        </w:rPr>
      </w:pPr>
      <w:r w:rsidRPr="00E8565C">
        <w:rPr>
          <w:b/>
          <w:sz w:val="24"/>
          <w:szCs w:val="24"/>
        </w:rPr>
        <w:t xml:space="preserve">Priority 2: </w:t>
      </w:r>
    </w:p>
    <w:p w:rsidR="00147C88" w:rsidRPr="00E8565C" w:rsidRDefault="00147C88">
      <w:pPr>
        <w:rPr>
          <w:b/>
          <w:sz w:val="24"/>
          <w:szCs w:val="24"/>
        </w:rPr>
      </w:pPr>
      <w:r w:rsidRPr="00E8565C">
        <w:rPr>
          <w:b/>
          <w:sz w:val="24"/>
          <w:szCs w:val="24"/>
        </w:rPr>
        <w:t>We will strengthen our communication and engagement across groups and communities in Merton to increase public awareness of safeguarding adults and to ensure that our plans and actions are informed by the experience of the widest range of local people.</w:t>
      </w:r>
    </w:p>
    <w:p w:rsidR="00BC45D4" w:rsidRDefault="00BC45D4">
      <w:pPr>
        <w:rPr>
          <w:sz w:val="24"/>
          <w:szCs w:val="24"/>
        </w:rPr>
      </w:pPr>
    </w:p>
    <w:tbl>
      <w:tblPr>
        <w:tblStyle w:val="TableGrid"/>
        <w:tblW w:w="0" w:type="auto"/>
        <w:tblLook w:val="04A0" w:firstRow="1" w:lastRow="0" w:firstColumn="1" w:lastColumn="0" w:noHBand="0" w:noVBand="1"/>
      </w:tblPr>
      <w:tblGrid>
        <w:gridCol w:w="2391"/>
        <w:gridCol w:w="2469"/>
        <w:gridCol w:w="2437"/>
        <w:gridCol w:w="2275"/>
        <w:gridCol w:w="2470"/>
        <w:gridCol w:w="1906"/>
      </w:tblGrid>
      <w:tr w:rsidR="0023655B" w:rsidTr="0023655B">
        <w:tc>
          <w:tcPr>
            <w:tcW w:w="2391" w:type="dxa"/>
            <w:shd w:val="clear" w:color="auto" w:fill="FFC000"/>
          </w:tcPr>
          <w:p w:rsidR="0023655B" w:rsidRDefault="0023655B">
            <w:pPr>
              <w:rPr>
                <w:sz w:val="24"/>
                <w:szCs w:val="24"/>
              </w:rPr>
            </w:pPr>
            <w:r>
              <w:rPr>
                <w:sz w:val="24"/>
                <w:szCs w:val="24"/>
              </w:rPr>
              <w:t>Outcome</w:t>
            </w:r>
          </w:p>
        </w:tc>
        <w:tc>
          <w:tcPr>
            <w:tcW w:w="2469" w:type="dxa"/>
            <w:shd w:val="clear" w:color="auto" w:fill="FFC000"/>
          </w:tcPr>
          <w:p w:rsidR="0023655B" w:rsidRDefault="0023655B">
            <w:pPr>
              <w:rPr>
                <w:sz w:val="24"/>
                <w:szCs w:val="24"/>
              </w:rPr>
            </w:pPr>
            <w:r>
              <w:rPr>
                <w:sz w:val="24"/>
                <w:szCs w:val="24"/>
              </w:rPr>
              <w:t>Action</w:t>
            </w:r>
          </w:p>
        </w:tc>
        <w:tc>
          <w:tcPr>
            <w:tcW w:w="2437" w:type="dxa"/>
            <w:shd w:val="clear" w:color="auto" w:fill="FFC000"/>
          </w:tcPr>
          <w:p w:rsidR="0023655B" w:rsidRDefault="0023655B">
            <w:pPr>
              <w:rPr>
                <w:sz w:val="24"/>
                <w:szCs w:val="24"/>
              </w:rPr>
            </w:pPr>
            <w:r>
              <w:rPr>
                <w:sz w:val="24"/>
                <w:szCs w:val="24"/>
              </w:rPr>
              <w:t>Lead</w:t>
            </w:r>
          </w:p>
        </w:tc>
        <w:tc>
          <w:tcPr>
            <w:tcW w:w="2275" w:type="dxa"/>
            <w:shd w:val="clear" w:color="auto" w:fill="FFC000"/>
          </w:tcPr>
          <w:p w:rsidR="0023655B" w:rsidRDefault="0023655B">
            <w:pPr>
              <w:rPr>
                <w:sz w:val="24"/>
                <w:szCs w:val="24"/>
              </w:rPr>
            </w:pPr>
            <w:r>
              <w:rPr>
                <w:sz w:val="24"/>
                <w:szCs w:val="24"/>
              </w:rPr>
              <w:t>Timescales</w:t>
            </w:r>
          </w:p>
        </w:tc>
        <w:tc>
          <w:tcPr>
            <w:tcW w:w="2470" w:type="dxa"/>
            <w:shd w:val="clear" w:color="auto" w:fill="FFC000"/>
          </w:tcPr>
          <w:p w:rsidR="0023655B" w:rsidRDefault="0023655B">
            <w:pPr>
              <w:rPr>
                <w:sz w:val="24"/>
                <w:szCs w:val="24"/>
              </w:rPr>
            </w:pPr>
            <w:r>
              <w:rPr>
                <w:sz w:val="24"/>
                <w:szCs w:val="24"/>
              </w:rPr>
              <w:t>Success criteria</w:t>
            </w:r>
          </w:p>
        </w:tc>
        <w:tc>
          <w:tcPr>
            <w:tcW w:w="1906" w:type="dxa"/>
            <w:shd w:val="clear" w:color="auto" w:fill="FFC000"/>
          </w:tcPr>
          <w:p w:rsidR="0023655B" w:rsidRDefault="0023655B">
            <w:pPr>
              <w:rPr>
                <w:sz w:val="24"/>
                <w:szCs w:val="24"/>
              </w:rPr>
            </w:pPr>
            <w:r>
              <w:rPr>
                <w:sz w:val="24"/>
                <w:szCs w:val="24"/>
              </w:rPr>
              <w:t>RAG rating</w:t>
            </w:r>
          </w:p>
        </w:tc>
      </w:tr>
      <w:tr w:rsidR="0023655B" w:rsidTr="0023655B">
        <w:tc>
          <w:tcPr>
            <w:tcW w:w="2391" w:type="dxa"/>
          </w:tcPr>
          <w:p w:rsidR="0023655B" w:rsidRPr="00E66FE2" w:rsidRDefault="0023655B" w:rsidP="00E66FE2">
            <w:pPr>
              <w:pStyle w:val="ListParagraph"/>
              <w:numPr>
                <w:ilvl w:val="0"/>
                <w:numId w:val="5"/>
              </w:numPr>
              <w:rPr>
                <w:sz w:val="24"/>
                <w:szCs w:val="24"/>
              </w:rPr>
            </w:pPr>
            <w:r w:rsidRPr="00E66FE2">
              <w:rPr>
                <w:sz w:val="24"/>
                <w:szCs w:val="24"/>
              </w:rPr>
              <w:t>People who use services are able to influence the work of MSAB</w:t>
            </w:r>
          </w:p>
        </w:tc>
        <w:tc>
          <w:tcPr>
            <w:tcW w:w="2469" w:type="dxa"/>
          </w:tcPr>
          <w:p w:rsidR="0023655B" w:rsidRPr="006933A3" w:rsidRDefault="006933A3" w:rsidP="006933A3">
            <w:pPr>
              <w:rPr>
                <w:sz w:val="24"/>
                <w:szCs w:val="24"/>
              </w:rPr>
            </w:pPr>
            <w:r>
              <w:rPr>
                <w:sz w:val="24"/>
                <w:szCs w:val="24"/>
              </w:rPr>
              <w:t xml:space="preserve">1a.  </w:t>
            </w:r>
            <w:r w:rsidR="0023655B" w:rsidRPr="006933A3">
              <w:rPr>
                <w:sz w:val="24"/>
                <w:szCs w:val="24"/>
              </w:rPr>
              <w:t>Communication and engagement sub group set up to develop and test user engagement models, including lay members and experts by experience to participate and support the work of MSAB</w:t>
            </w:r>
          </w:p>
          <w:p w:rsidR="0023655B" w:rsidRDefault="0023655B">
            <w:pPr>
              <w:rPr>
                <w:sz w:val="24"/>
                <w:szCs w:val="24"/>
              </w:rPr>
            </w:pPr>
          </w:p>
        </w:tc>
        <w:tc>
          <w:tcPr>
            <w:tcW w:w="2437" w:type="dxa"/>
          </w:tcPr>
          <w:p w:rsidR="0023655B" w:rsidRDefault="0023655B">
            <w:pPr>
              <w:rPr>
                <w:sz w:val="24"/>
                <w:szCs w:val="24"/>
              </w:rPr>
            </w:pPr>
            <w:r>
              <w:rPr>
                <w:sz w:val="24"/>
                <w:szCs w:val="24"/>
              </w:rPr>
              <w:t>Communication &amp; Engagement Sub Group</w:t>
            </w:r>
          </w:p>
        </w:tc>
        <w:tc>
          <w:tcPr>
            <w:tcW w:w="2275" w:type="dxa"/>
          </w:tcPr>
          <w:p w:rsidR="0023655B" w:rsidRDefault="00011455">
            <w:pPr>
              <w:rPr>
                <w:sz w:val="24"/>
                <w:szCs w:val="24"/>
              </w:rPr>
            </w:pPr>
            <w:r>
              <w:rPr>
                <w:sz w:val="24"/>
                <w:szCs w:val="24"/>
              </w:rPr>
              <w:t>December 2019</w:t>
            </w:r>
          </w:p>
        </w:tc>
        <w:tc>
          <w:tcPr>
            <w:tcW w:w="2470" w:type="dxa"/>
          </w:tcPr>
          <w:p w:rsidR="0023655B" w:rsidRDefault="0023655B">
            <w:pPr>
              <w:rPr>
                <w:sz w:val="24"/>
                <w:szCs w:val="24"/>
              </w:rPr>
            </w:pPr>
            <w:r>
              <w:rPr>
                <w:sz w:val="24"/>
                <w:szCs w:val="24"/>
              </w:rPr>
              <w:t>Service users and carers have regular opportunities to engage with MSAB</w:t>
            </w:r>
          </w:p>
        </w:tc>
        <w:tc>
          <w:tcPr>
            <w:tcW w:w="1906" w:type="dxa"/>
          </w:tcPr>
          <w:p w:rsidR="0023655B" w:rsidRDefault="0023655B">
            <w:pPr>
              <w:rPr>
                <w:sz w:val="24"/>
                <w:szCs w:val="24"/>
              </w:rPr>
            </w:pPr>
          </w:p>
        </w:tc>
      </w:tr>
      <w:tr w:rsidR="0023655B" w:rsidTr="0023655B">
        <w:tc>
          <w:tcPr>
            <w:tcW w:w="2391" w:type="dxa"/>
          </w:tcPr>
          <w:p w:rsidR="0023655B" w:rsidRPr="00E66FE2" w:rsidRDefault="0023655B" w:rsidP="00E66FE2">
            <w:pPr>
              <w:pStyle w:val="ListParagraph"/>
              <w:numPr>
                <w:ilvl w:val="0"/>
                <w:numId w:val="5"/>
              </w:numPr>
              <w:rPr>
                <w:sz w:val="24"/>
                <w:szCs w:val="24"/>
              </w:rPr>
            </w:pPr>
            <w:r w:rsidRPr="00E66FE2">
              <w:rPr>
                <w:sz w:val="24"/>
                <w:szCs w:val="24"/>
              </w:rPr>
              <w:t>Local understanding of safeguarding continues to improve</w:t>
            </w:r>
          </w:p>
        </w:tc>
        <w:tc>
          <w:tcPr>
            <w:tcW w:w="2469" w:type="dxa"/>
          </w:tcPr>
          <w:p w:rsidR="0023655B" w:rsidRPr="006933A3" w:rsidRDefault="006933A3" w:rsidP="006933A3">
            <w:pPr>
              <w:rPr>
                <w:sz w:val="24"/>
                <w:szCs w:val="24"/>
              </w:rPr>
            </w:pPr>
            <w:r>
              <w:rPr>
                <w:sz w:val="24"/>
                <w:szCs w:val="24"/>
              </w:rPr>
              <w:t xml:space="preserve">2a.  </w:t>
            </w:r>
            <w:r w:rsidR="0023655B" w:rsidRPr="006933A3">
              <w:rPr>
                <w:sz w:val="24"/>
                <w:szCs w:val="24"/>
              </w:rPr>
              <w:t xml:space="preserve">MSAB website developed so that local people and professionals can access information about adult safeguarding and </w:t>
            </w:r>
            <w:r w:rsidR="0023655B" w:rsidRPr="006933A3">
              <w:rPr>
                <w:sz w:val="24"/>
                <w:szCs w:val="24"/>
              </w:rPr>
              <w:lastRenderedPageBreak/>
              <w:t>prevention is promoted;</w:t>
            </w:r>
          </w:p>
          <w:p w:rsidR="0023655B" w:rsidRDefault="0023655B">
            <w:pPr>
              <w:rPr>
                <w:sz w:val="24"/>
                <w:szCs w:val="24"/>
              </w:rPr>
            </w:pPr>
          </w:p>
          <w:p w:rsidR="0023655B" w:rsidRPr="006933A3" w:rsidRDefault="006933A3" w:rsidP="006933A3">
            <w:pPr>
              <w:rPr>
                <w:sz w:val="24"/>
                <w:szCs w:val="24"/>
              </w:rPr>
            </w:pPr>
            <w:r>
              <w:rPr>
                <w:sz w:val="24"/>
                <w:szCs w:val="24"/>
              </w:rPr>
              <w:t xml:space="preserve">2b.  </w:t>
            </w:r>
            <w:r w:rsidR="0023655B" w:rsidRPr="006933A3">
              <w:rPr>
                <w:sz w:val="24"/>
                <w:szCs w:val="24"/>
              </w:rPr>
              <w:t>Alternative and accessible forms of information developed and disseminated.</w:t>
            </w:r>
          </w:p>
        </w:tc>
        <w:tc>
          <w:tcPr>
            <w:tcW w:w="2437" w:type="dxa"/>
          </w:tcPr>
          <w:p w:rsidR="0023655B" w:rsidRDefault="0023655B">
            <w:pPr>
              <w:rPr>
                <w:sz w:val="24"/>
                <w:szCs w:val="24"/>
              </w:rPr>
            </w:pPr>
            <w:r>
              <w:rPr>
                <w:sz w:val="24"/>
                <w:szCs w:val="24"/>
              </w:rPr>
              <w:lastRenderedPageBreak/>
              <w:t>Communication &amp; Engagement Sub Group</w:t>
            </w:r>
          </w:p>
        </w:tc>
        <w:tc>
          <w:tcPr>
            <w:tcW w:w="2275" w:type="dxa"/>
          </w:tcPr>
          <w:p w:rsidR="0023655B" w:rsidRDefault="00011455">
            <w:pPr>
              <w:rPr>
                <w:sz w:val="24"/>
                <w:szCs w:val="24"/>
              </w:rPr>
            </w:pPr>
            <w:r>
              <w:rPr>
                <w:sz w:val="24"/>
                <w:szCs w:val="24"/>
              </w:rPr>
              <w:t>December 2019</w:t>
            </w:r>
          </w:p>
        </w:tc>
        <w:tc>
          <w:tcPr>
            <w:tcW w:w="2470" w:type="dxa"/>
          </w:tcPr>
          <w:p w:rsidR="0023655B" w:rsidRDefault="0023655B">
            <w:pPr>
              <w:rPr>
                <w:sz w:val="24"/>
                <w:szCs w:val="24"/>
              </w:rPr>
            </w:pPr>
            <w:r>
              <w:rPr>
                <w:sz w:val="24"/>
                <w:szCs w:val="24"/>
              </w:rPr>
              <w:t>MSAB has an effective Communications Strategy</w:t>
            </w: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p>
        </w:tc>
        <w:tc>
          <w:tcPr>
            <w:tcW w:w="1906" w:type="dxa"/>
          </w:tcPr>
          <w:p w:rsidR="0023655B" w:rsidRDefault="0023655B">
            <w:pPr>
              <w:rPr>
                <w:sz w:val="24"/>
                <w:szCs w:val="24"/>
              </w:rPr>
            </w:pPr>
          </w:p>
        </w:tc>
      </w:tr>
      <w:tr w:rsidR="0023655B" w:rsidTr="0023655B">
        <w:tc>
          <w:tcPr>
            <w:tcW w:w="2391" w:type="dxa"/>
          </w:tcPr>
          <w:p w:rsidR="0023655B" w:rsidRPr="00E66FE2" w:rsidRDefault="0023655B" w:rsidP="00E66FE2">
            <w:pPr>
              <w:pStyle w:val="ListParagraph"/>
              <w:numPr>
                <w:ilvl w:val="0"/>
                <w:numId w:val="5"/>
              </w:numPr>
              <w:rPr>
                <w:sz w:val="24"/>
                <w:szCs w:val="24"/>
              </w:rPr>
            </w:pPr>
            <w:r w:rsidRPr="00E66FE2">
              <w:rPr>
                <w:sz w:val="24"/>
                <w:szCs w:val="24"/>
              </w:rPr>
              <w:t>Partners are visibly engaged with providers and people in the community</w:t>
            </w:r>
          </w:p>
        </w:tc>
        <w:tc>
          <w:tcPr>
            <w:tcW w:w="2469" w:type="dxa"/>
          </w:tcPr>
          <w:p w:rsidR="0023655B" w:rsidRPr="006933A3" w:rsidRDefault="006933A3" w:rsidP="006933A3">
            <w:pPr>
              <w:rPr>
                <w:sz w:val="24"/>
                <w:szCs w:val="24"/>
              </w:rPr>
            </w:pPr>
            <w:r>
              <w:rPr>
                <w:sz w:val="24"/>
                <w:szCs w:val="24"/>
              </w:rPr>
              <w:t xml:space="preserve">3a.  </w:t>
            </w:r>
            <w:r w:rsidR="0023655B" w:rsidRPr="006933A3">
              <w:rPr>
                <w:sz w:val="24"/>
                <w:szCs w:val="24"/>
              </w:rPr>
              <w:t>MSAB members to attend community, CVS and provide forums to promote MSAB and report on activity to the Communications &amp; Engagement Sub Group</w:t>
            </w:r>
          </w:p>
        </w:tc>
        <w:tc>
          <w:tcPr>
            <w:tcW w:w="2437" w:type="dxa"/>
          </w:tcPr>
          <w:p w:rsidR="0023655B" w:rsidRDefault="0023655B">
            <w:pPr>
              <w:rPr>
                <w:sz w:val="24"/>
                <w:szCs w:val="24"/>
              </w:rPr>
            </w:pPr>
            <w:r>
              <w:rPr>
                <w:sz w:val="24"/>
                <w:szCs w:val="24"/>
              </w:rPr>
              <w:t>MSAB Leads</w:t>
            </w:r>
          </w:p>
        </w:tc>
        <w:tc>
          <w:tcPr>
            <w:tcW w:w="2275" w:type="dxa"/>
          </w:tcPr>
          <w:p w:rsidR="0023655B" w:rsidRDefault="00011455">
            <w:pPr>
              <w:rPr>
                <w:sz w:val="24"/>
                <w:szCs w:val="24"/>
              </w:rPr>
            </w:pPr>
            <w:r>
              <w:rPr>
                <w:sz w:val="24"/>
                <w:szCs w:val="24"/>
              </w:rPr>
              <w:t>March 2020</w:t>
            </w:r>
          </w:p>
        </w:tc>
        <w:tc>
          <w:tcPr>
            <w:tcW w:w="2470" w:type="dxa"/>
          </w:tcPr>
          <w:p w:rsidR="0023655B" w:rsidRDefault="0023655B">
            <w:pPr>
              <w:rPr>
                <w:sz w:val="24"/>
                <w:szCs w:val="24"/>
              </w:rPr>
            </w:pPr>
            <w:r>
              <w:rPr>
                <w:sz w:val="24"/>
                <w:szCs w:val="24"/>
              </w:rPr>
              <w:t>Engagement of MSAB members with local communities and the community and voluntary sector.</w:t>
            </w:r>
          </w:p>
        </w:tc>
        <w:tc>
          <w:tcPr>
            <w:tcW w:w="1906" w:type="dxa"/>
          </w:tcPr>
          <w:p w:rsidR="0023655B" w:rsidRDefault="0023655B">
            <w:pPr>
              <w:rPr>
                <w:sz w:val="24"/>
                <w:szCs w:val="24"/>
              </w:rPr>
            </w:pPr>
          </w:p>
        </w:tc>
      </w:tr>
      <w:tr w:rsidR="0023655B" w:rsidTr="0023655B">
        <w:tc>
          <w:tcPr>
            <w:tcW w:w="2391" w:type="dxa"/>
          </w:tcPr>
          <w:p w:rsidR="0023655B" w:rsidRPr="00E66FE2" w:rsidRDefault="0023655B" w:rsidP="00E66FE2">
            <w:pPr>
              <w:pStyle w:val="ListParagraph"/>
              <w:numPr>
                <w:ilvl w:val="0"/>
                <w:numId w:val="5"/>
              </w:numPr>
              <w:rPr>
                <w:sz w:val="24"/>
                <w:szCs w:val="24"/>
              </w:rPr>
            </w:pPr>
            <w:r w:rsidRPr="00E66FE2">
              <w:rPr>
                <w:sz w:val="24"/>
                <w:szCs w:val="24"/>
              </w:rPr>
              <w:t>Service user feedback about the safeguarding service they receive informs the work of MSAB</w:t>
            </w:r>
          </w:p>
        </w:tc>
        <w:tc>
          <w:tcPr>
            <w:tcW w:w="2469" w:type="dxa"/>
          </w:tcPr>
          <w:p w:rsidR="0023655B" w:rsidRPr="006933A3" w:rsidRDefault="006933A3" w:rsidP="006933A3">
            <w:pPr>
              <w:rPr>
                <w:sz w:val="24"/>
                <w:szCs w:val="24"/>
              </w:rPr>
            </w:pPr>
            <w:r>
              <w:rPr>
                <w:sz w:val="24"/>
                <w:szCs w:val="24"/>
              </w:rPr>
              <w:t xml:space="preserve">4a.  </w:t>
            </w:r>
            <w:r w:rsidR="0023655B" w:rsidRPr="006933A3">
              <w:rPr>
                <w:sz w:val="24"/>
                <w:szCs w:val="24"/>
              </w:rPr>
              <w:t>Methods for gaining service user feedback from partner agencies is clarified and regular reporting agreed.</w:t>
            </w:r>
          </w:p>
        </w:tc>
        <w:tc>
          <w:tcPr>
            <w:tcW w:w="2437" w:type="dxa"/>
          </w:tcPr>
          <w:p w:rsidR="0023655B" w:rsidRDefault="0023655B">
            <w:pPr>
              <w:rPr>
                <w:sz w:val="24"/>
                <w:szCs w:val="24"/>
              </w:rPr>
            </w:pPr>
            <w:r>
              <w:rPr>
                <w:sz w:val="24"/>
                <w:szCs w:val="24"/>
              </w:rPr>
              <w:t>Performance &amp; Quality Sub Group</w:t>
            </w:r>
          </w:p>
        </w:tc>
        <w:tc>
          <w:tcPr>
            <w:tcW w:w="2275" w:type="dxa"/>
          </w:tcPr>
          <w:p w:rsidR="0023655B" w:rsidRDefault="00011455">
            <w:pPr>
              <w:rPr>
                <w:sz w:val="24"/>
                <w:szCs w:val="24"/>
              </w:rPr>
            </w:pPr>
            <w:r>
              <w:rPr>
                <w:sz w:val="24"/>
                <w:szCs w:val="24"/>
              </w:rPr>
              <w:t>September 2019</w:t>
            </w:r>
          </w:p>
        </w:tc>
        <w:tc>
          <w:tcPr>
            <w:tcW w:w="2470" w:type="dxa"/>
          </w:tcPr>
          <w:p w:rsidR="0023655B" w:rsidRDefault="0023655B">
            <w:pPr>
              <w:rPr>
                <w:sz w:val="24"/>
                <w:szCs w:val="24"/>
              </w:rPr>
            </w:pPr>
            <w:r>
              <w:rPr>
                <w:sz w:val="24"/>
                <w:szCs w:val="24"/>
              </w:rPr>
              <w:t>MSAB is informed of how satisfied people are with the safeguarding service they receive.</w:t>
            </w:r>
          </w:p>
        </w:tc>
        <w:tc>
          <w:tcPr>
            <w:tcW w:w="1906" w:type="dxa"/>
          </w:tcPr>
          <w:p w:rsidR="0023655B" w:rsidRDefault="0023655B">
            <w:pPr>
              <w:rPr>
                <w:sz w:val="24"/>
                <w:szCs w:val="24"/>
              </w:rPr>
            </w:pPr>
          </w:p>
        </w:tc>
      </w:tr>
    </w:tbl>
    <w:p w:rsidR="00BC45D4" w:rsidRDefault="00BC45D4">
      <w:pPr>
        <w:rPr>
          <w:sz w:val="24"/>
          <w:szCs w:val="24"/>
        </w:rPr>
      </w:pPr>
    </w:p>
    <w:p w:rsidR="00BC45D4" w:rsidRDefault="00BC45D4">
      <w:pPr>
        <w:rPr>
          <w:sz w:val="24"/>
          <w:szCs w:val="24"/>
        </w:rPr>
      </w:pPr>
    </w:p>
    <w:p w:rsidR="003858F1" w:rsidRDefault="003858F1">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p>
    <w:p w:rsidR="00BC45D4" w:rsidRPr="00E8565C" w:rsidRDefault="00BC45D4">
      <w:pPr>
        <w:rPr>
          <w:b/>
          <w:sz w:val="24"/>
          <w:szCs w:val="24"/>
        </w:rPr>
      </w:pPr>
      <w:r w:rsidRPr="00E8565C">
        <w:rPr>
          <w:b/>
          <w:sz w:val="24"/>
          <w:szCs w:val="24"/>
        </w:rPr>
        <w:t>Priority 3:</w:t>
      </w:r>
    </w:p>
    <w:p w:rsidR="00BC45D4" w:rsidRPr="00E8565C" w:rsidRDefault="00BC45D4">
      <w:pPr>
        <w:rPr>
          <w:b/>
          <w:sz w:val="24"/>
          <w:szCs w:val="24"/>
        </w:rPr>
      </w:pPr>
      <w:r w:rsidRPr="00E8565C">
        <w:rPr>
          <w:b/>
          <w:sz w:val="24"/>
          <w:szCs w:val="24"/>
        </w:rPr>
        <w:t>Together we will learn from experience and support both paid and unpaid staff across the partnership to continually build confidence and the effectiveness of everyone’s safeguarding practice.</w:t>
      </w:r>
    </w:p>
    <w:tbl>
      <w:tblPr>
        <w:tblStyle w:val="TableGrid"/>
        <w:tblW w:w="0" w:type="auto"/>
        <w:tblLook w:val="04A0" w:firstRow="1" w:lastRow="0" w:firstColumn="1" w:lastColumn="0" w:noHBand="0" w:noVBand="1"/>
      </w:tblPr>
      <w:tblGrid>
        <w:gridCol w:w="2720"/>
        <w:gridCol w:w="2516"/>
        <w:gridCol w:w="2319"/>
        <w:gridCol w:w="2227"/>
        <w:gridCol w:w="2315"/>
        <w:gridCol w:w="1851"/>
      </w:tblGrid>
      <w:tr w:rsidR="0023655B" w:rsidTr="0023655B">
        <w:tc>
          <w:tcPr>
            <w:tcW w:w="2517" w:type="dxa"/>
            <w:shd w:val="clear" w:color="auto" w:fill="FFC000"/>
          </w:tcPr>
          <w:p w:rsidR="0023655B" w:rsidRDefault="0023655B">
            <w:pPr>
              <w:rPr>
                <w:sz w:val="24"/>
                <w:szCs w:val="24"/>
              </w:rPr>
            </w:pPr>
            <w:r>
              <w:rPr>
                <w:sz w:val="24"/>
                <w:szCs w:val="24"/>
              </w:rPr>
              <w:t>Outcome</w:t>
            </w:r>
          </w:p>
        </w:tc>
        <w:tc>
          <w:tcPr>
            <w:tcW w:w="2539" w:type="dxa"/>
            <w:shd w:val="clear" w:color="auto" w:fill="FFC000"/>
          </w:tcPr>
          <w:p w:rsidR="0023655B" w:rsidRDefault="0023655B">
            <w:pPr>
              <w:rPr>
                <w:sz w:val="24"/>
                <w:szCs w:val="24"/>
              </w:rPr>
            </w:pPr>
            <w:r>
              <w:rPr>
                <w:sz w:val="24"/>
                <w:szCs w:val="24"/>
              </w:rPr>
              <w:t>Action</w:t>
            </w:r>
          </w:p>
        </w:tc>
        <w:tc>
          <w:tcPr>
            <w:tcW w:w="2358" w:type="dxa"/>
            <w:shd w:val="clear" w:color="auto" w:fill="FFC000"/>
          </w:tcPr>
          <w:p w:rsidR="0023655B" w:rsidRDefault="0023655B">
            <w:pPr>
              <w:rPr>
                <w:sz w:val="24"/>
                <w:szCs w:val="24"/>
              </w:rPr>
            </w:pPr>
            <w:r>
              <w:rPr>
                <w:sz w:val="24"/>
                <w:szCs w:val="24"/>
              </w:rPr>
              <w:t>Lead</w:t>
            </w:r>
          </w:p>
        </w:tc>
        <w:tc>
          <w:tcPr>
            <w:tcW w:w="2274" w:type="dxa"/>
            <w:shd w:val="clear" w:color="auto" w:fill="FFC000"/>
          </w:tcPr>
          <w:p w:rsidR="0023655B" w:rsidRDefault="0023655B">
            <w:pPr>
              <w:rPr>
                <w:sz w:val="24"/>
                <w:szCs w:val="24"/>
              </w:rPr>
            </w:pPr>
            <w:r>
              <w:rPr>
                <w:sz w:val="24"/>
                <w:szCs w:val="24"/>
              </w:rPr>
              <w:t>Timescales</w:t>
            </w:r>
          </w:p>
        </w:tc>
        <w:tc>
          <w:tcPr>
            <w:tcW w:w="2355" w:type="dxa"/>
            <w:shd w:val="clear" w:color="auto" w:fill="FFC000"/>
          </w:tcPr>
          <w:p w:rsidR="0023655B" w:rsidRDefault="0023655B">
            <w:pPr>
              <w:rPr>
                <w:sz w:val="24"/>
                <w:szCs w:val="24"/>
              </w:rPr>
            </w:pPr>
            <w:r>
              <w:rPr>
                <w:sz w:val="24"/>
                <w:szCs w:val="24"/>
              </w:rPr>
              <w:t>Success criteria</w:t>
            </w:r>
          </w:p>
        </w:tc>
        <w:tc>
          <w:tcPr>
            <w:tcW w:w="1905" w:type="dxa"/>
            <w:shd w:val="clear" w:color="auto" w:fill="FFC000"/>
          </w:tcPr>
          <w:p w:rsidR="0023655B" w:rsidRDefault="0023655B">
            <w:pPr>
              <w:rPr>
                <w:sz w:val="24"/>
                <w:szCs w:val="24"/>
              </w:rPr>
            </w:pPr>
            <w:r>
              <w:rPr>
                <w:sz w:val="24"/>
                <w:szCs w:val="24"/>
              </w:rPr>
              <w:t>RAG rating</w:t>
            </w:r>
          </w:p>
        </w:tc>
      </w:tr>
      <w:tr w:rsidR="0023655B" w:rsidTr="0023655B">
        <w:tc>
          <w:tcPr>
            <w:tcW w:w="2517" w:type="dxa"/>
          </w:tcPr>
          <w:p w:rsidR="0023655B" w:rsidRPr="00E66FE2" w:rsidRDefault="0023655B" w:rsidP="00E66FE2">
            <w:pPr>
              <w:pStyle w:val="ListParagraph"/>
              <w:numPr>
                <w:ilvl w:val="0"/>
                <w:numId w:val="9"/>
              </w:numPr>
              <w:rPr>
                <w:sz w:val="24"/>
                <w:szCs w:val="24"/>
              </w:rPr>
            </w:pPr>
            <w:r w:rsidRPr="00E66FE2">
              <w:rPr>
                <w:sz w:val="24"/>
                <w:szCs w:val="24"/>
              </w:rPr>
              <w:t xml:space="preserve">Adult safeguarding risks are mitigated because issues for improvement and development arising from Safeguarding Adults Review (SAR) recommendations are addressed </w:t>
            </w:r>
          </w:p>
        </w:tc>
        <w:tc>
          <w:tcPr>
            <w:tcW w:w="2539" w:type="dxa"/>
          </w:tcPr>
          <w:p w:rsidR="0023655B" w:rsidRPr="006933A3" w:rsidRDefault="006933A3" w:rsidP="006933A3">
            <w:pPr>
              <w:rPr>
                <w:sz w:val="24"/>
                <w:szCs w:val="24"/>
              </w:rPr>
            </w:pPr>
            <w:r>
              <w:rPr>
                <w:sz w:val="24"/>
                <w:szCs w:val="24"/>
              </w:rPr>
              <w:t xml:space="preserve">1a.  </w:t>
            </w:r>
            <w:r w:rsidR="0023655B" w:rsidRPr="006933A3">
              <w:rPr>
                <w:sz w:val="24"/>
                <w:szCs w:val="24"/>
              </w:rPr>
              <w:t>SAR Evaluation Sub Group set up to make recommendations to MSAB on whether a SAR should be commissioned; to oversee local SAR process and to ensure MSAB is informed of national SAR learning;</w:t>
            </w:r>
          </w:p>
          <w:p w:rsidR="0023655B" w:rsidRDefault="0023655B">
            <w:pPr>
              <w:rPr>
                <w:sz w:val="24"/>
                <w:szCs w:val="24"/>
              </w:rPr>
            </w:pPr>
          </w:p>
          <w:p w:rsidR="0023655B" w:rsidRDefault="0023655B">
            <w:pPr>
              <w:rPr>
                <w:sz w:val="24"/>
                <w:szCs w:val="24"/>
              </w:rPr>
            </w:pPr>
          </w:p>
          <w:p w:rsidR="0023655B" w:rsidRPr="006933A3" w:rsidRDefault="006933A3" w:rsidP="006933A3">
            <w:pPr>
              <w:rPr>
                <w:sz w:val="24"/>
                <w:szCs w:val="24"/>
              </w:rPr>
            </w:pPr>
            <w:r>
              <w:rPr>
                <w:sz w:val="24"/>
                <w:szCs w:val="24"/>
              </w:rPr>
              <w:t xml:space="preserve">1b.  </w:t>
            </w:r>
            <w:r w:rsidR="0023655B" w:rsidRPr="006933A3">
              <w:rPr>
                <w:sz w:val="24"/>
                <w:szCs w:val="24"/>
              </w:rPr>
              <w:t xml:space="preserve">Staff across the partnership are made aware of SAR recommendations;  </w:t>
            </w:r>
            <w:r w:rsidR="0023655B" w:rsidRPr="006933A3">
              <w:rPr>
                <w:sz w:val="24"/>
                <w:szCs w:val="24"/>
              </w:rPr>
              <w:lastRenderedPageBreak/>
              <w:t>training is provided based on learning from SARs</w:t>
            </w:r>
          </w:p>
        </w:tc>
        <w:tc>
          <w:tcPr>
            <w:tcW w:w="2358" w:type="dxa"/>
          </w:tcPr>
          <w:p w:rsidR="0023655B" w:rsidRDefault="0023655B">
            <w:pPr>
              <w:rPr>
                <w:sz w:val="24"/>
                <w:szCs w:val="24"/>
              </w:rPr>
            </w:pPr>
            <w:r>
              <w:rPr>
                <w:sz w:val="24"/>
                <w:szCs w:val="24"/>
              </w:rPr>
              <w:lastRenderedPageBreak/>
              <w:t>SAR Evaluation Sub Group</w:t>
            </w: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r>
              <w:rPr>
                <w:sz w:val="24"/>
                <w:szCs w:val="24"/>
              </w:rPr>
              <w:t>Learning &amp; Development Sub Group (see below)</w:t>
            </w:r>
          </w:p>
        </w:tc>
        <w:tc>
          <w:tcPr>
            <w:tcW w:w="2274" w:type="dxa"/>
          </w:tcPr>
          <w:p w:rsidR="0023655B" w:rsidRDefault="00011455">
            <w:pPr>
              <w:rPr>
                <w:sz w:val="24"/>
                <w:szCs w:val="24"/>
              </w:rPr>
            </w:pPr>
            <w:r>
              <w:rPr>
                <w:sz w:val="24"/>
                <w:szCs w:val="24"/>
              </w:rPr>
              <w:t>June 2019</w:t>
            </w: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23655B">
            <w:pPr>
              <w:rPr>
                <w:sz w:val="24"/>
                <w:szCs w:val="24"/>
              </w:rPr>
            </w:pPr>
          </w:p>
          <w:p w:rsidR="0023655B" w:rsidRDefault="00011455">
            <w:pPr>
              <w:rPr>
                <w:sz w:val="24"/>
                <w:szCs w:val="24"/>
              </w:rPr>
            </w:pPr>
            <w:r>
              <w:rPr>
                <w:sz w:val="24"/>
                <w:szCs w:val="24"/>
              </w:rPr>
              <w:t>September 2019</w:t>
            </w:r>
          </w:p>
        </w:tc>
        <w:tc>
          <w:tcPr>
            <w:tcW w:w="2355" w:type="dxa"/>
          </w:tcPr>
          <w:p w:rsidR="0023655B" w:rsidRDefault="0023655B">
            <w:pPr>
              <w:rPr>
                <w:sz w:val="24"/>
                <w:szCs w:val="24"/>
              </w:rPr>
            </w:pPr>
            <w:r>
              <w:rPr>
                <w:sz w:val="24"/>
                <w:szCs w:val="24"/>
              </w:rPr>
              <w:t>Safeguarding Adults Reviews action plans are implemented and MSAB monitors the impact of learning from SARs</w:t>
            </w:r>
          </w:p>
        </w:tc>
        <w:tc>
          <w:tcPr>
            <w:tcW w:w="1905" w:type="dxa"/>
          </w:tcPr>
          <w:p w:rsidR="0023655B" w:rsidRDefault="0023655B">
            <w:pPr>
              <w:rPr>
                <w:sz w:val="24"/>
                <w:szCs w:val="24"/>
              </w:rPr>
            </w:pPr>
          </w:p>
        </w:tc>
      </w:tr>
      <w:tr w:rsidR="0023655B" w:rsidTr="0023655B">
        <w:tc>
          <w:tcPr>
            <w:tcW w:w="2517" w:type="dxa"/>
          </w:tcPr>
          <w:p w:rsidR="0023655B" w:rsidRPr="00E66FE2" w:rsidRDefault="0023655B" w:rsidP="00E66FE2">
            <w:pPr>
              <w:pStyle w:val="ListParagraph"/>
              <w:numPr>
                <w:ilvl w:val="0"/>
                <w:numId w:val="9"/>
              </w:numPr>
              <w:rPr>
                <w:sz w:val="24"/>
                <w:szCs w:val="24"/>
              </w:rPr>
            </w:pPr>
            <w:r w:rsidRPr="00E66FE2">
              <w:rPr>
                <w:sz w:val="24"/>
                <w:szCs w:val="24"/>
              </w:rPr>
              <w:t>Competence in adult safeguarding is promoted as staff across all partners, including the CVS sector, can access diverse adult safeguarding learning and development</w:t>
            </w:r>
          </w:p>
        </w:tc>
        <w:tc>
          <w:tcPr>
            <w:tcW w:w="2539" w:type="dxa"/>
          </w:tcPr>
          <w:p w:rsidR="0023655B" w:rsidRPr="006933A3" w:rsidRDefault="006933A3" w:rsidP="006933A3">
            <w:pPr>
              <w:rPr>
                <w:sz w:val="24"/>
                <w:szCs w:val="24"/>
              </w:rPr>
            </w:pPr>
            <w:r>
              <w:rPr>
                <w:sz w:val="24"/>
                <w:szCs w:val="24"/>
              </w:rPr>
              <w:t xml:space="preserve">2a.  </w:t>
            </w:r>
            <w:r w:rsidR="0023655B" w:rsidRPr="006933A3">
              <w:rPr>
                <w:sz w:val="24"/>
                <w:szCs w:val="24"/>
              </w:rPr>
              <w:t>Learning &amp; Development Sub Group established, either Merton based or shared with neighbouring borough(s), to agree a training programme based on agreed strategic priorities</w:t>
            </w:r>
          </w:p>
        </w:tc>
        <w:tc>
          <w:tcPr>
            <w:tcW w:w="2358" w:type="dxa"/>
          </w:tcPr>
          <w:p w:rsidR="0023655B" w:rsidRDefault="0023655B">
            <w:pPr>
              <w:rPr>
                <w:sz w:val="24"/>
                <w:szCs w:val="24"/>
              </w:rPr>
            </w:pPr>
            <w:r>
              <w:rPr>
                <w:sz w:val="24"/>
                <w:szCs w:val="24"/>
              </w:rPr>
              <w:t>Learning &amp; Development Sub Group</w:t>
            </w:r>
          </w:p>
        </w:tc>
        <w:tc>
          <w:tcPr>
            <w:tcW w:w="2274" w:type="dxa"/>
          </w:tcPr>
          <w:p w:rsidR="0023655B" w:rsidRDefault="00011455">
            <w:pPr>
              <w:rPr>
                <w:sz w:val="24"/>
                <w:szCs w:val="24"/>
              </w:rPr>
            </w:pPr>
            <w:r>
              <w:rPr>
                <w:sz w:val="24"/>
                <w:szCs w:val="24"/>
              </w:rPr>
              <w:t>September 2019</w:t>
            </w:r>
          </w:p>
        </w:tc>
        <w:tc>
          <w:tcPr>
            <w:tcW w:w="2355" w:type="dxa"/>
          </w:tcPr>
          <w:p w:rsidR="0023655B" w:rsidRDefault="0023655B">
            <w:pPr>
              <w:rPr>
                <w:sz w:val="24"/>
                <w:szCs w:val="24"/>
              </w:rPr>
            </w:pPr>
            <w:r>
              <w:rPr>
                <w:sz w:val="24"/>
                <w:szCs w:val="24"/>
              </w:rPr>
              <w:t>Multi-agency training programme in place informed by MSAB priorities</w:t>
            </w:r>
          </w:p>
        </w:tc>
        <w:tc>
          <w:tcPr>
            <w:tcW w:w="1905" w:type="dxa"/>
          </w:tcPr>
          <w:p w:rsidR="0023655B" w:rsidRDefault="0023655B">
            <w:pPr>
              <w:rPr>
                <w:sz w:val="24"/>
                <w:szCs w:val="24"/>
              </w:rPr>
            </w:pPr>
          </w:p>
        </w:tc>
      </w:tr>
      <w:tr w:rsidR="0023655B" w:rsidTr="0023655B">
        <w:tc>
          <w:tcPr>
            <w:tcW w:w="2517" w:type="dxa"/>
          </w:tcPr>
          <w:p w:rsidR="0023655B" w:rsidRPr="00E66FE2" w:rsidRDefault="0023655B" w:rsidP="00E66FE2">
            <w:pPr>
              <w:pStyle w:val="ListParagraph"/>
              <w:numPr>
                <w:ilvl w:val="0"/>
                <w:numId w:val="9"/>
              </w:numPr>
              <w:rPr>
                <w:sz w:val="24"/>
                <w:szCs w:val="24"/>
              </w:rPr>
            </w:pPr>
            <w:r w:rsidRPr="00E66FE2">
              <w:rPr>
                <w:sz w:val="24"/>
                <w:szCs w:val="24"/>
              </w:rPr>
              <w:t xml:space="preserve">Adult safeguarding services are person-led and outcomes focused because people are encouraged and supported to make their own decisions regarding their </w:t>
            </w:r>
            <w:r w:rsidRPr="00E66FE2">
              <w:rPr>
                <w:sz w:val="24"/>
                <w:szCs w:val="24"/>
              </w:rPr>
              <w:lastRenderedPageBreak/>
              <w:t>safeguarding experience</w:t>
            </w:r>
          </w:p>
        </w:tc>
        <w:tc>
          <w:tcPr>
            <w:tcW w:w="2539" w:type="dxa"/>
          </w:tcPr>
          <w:p w:rsidR="0023655B" w:rsidRPr="006933A3" w:rsidRDefault="006933A3" w:rsidP="006933A3">
            <w:pPr>
              <w:rPr>
                <w:sz w:val="24"/>
                <w:szCs w:val="24"/>
              </w:rPr>
            </w:pPr>
            <w:r>
              <w:rPr>
                <w:sz w:val="24"/>
                <w:szCs w:val="24"/>
              </w:rPr>
              <w:lastRenderedPageBreak/>
              <w:t xml:space="preserve">3a.  </w:t>
            </w:r>
            <w:r w:rsidR="0023655B" w:rsidRPr="006933A3">
              <w:rPr>
                <w:sz w:val="24"/>
                <w:szCs w:val="24"/>
              </w:rPr>
              <w:t xml:space="preserve">Ensure that adult safeguarding training is based on the </w:t>
            </w:r>
            <w:r w:rsidR="0023655B" w:rsidRPr="006933A3">
              <w:rPr>
                <w:i/>
                <w:sz w:val="24"/>
                <w:szCs w:val="24"/>
              </w:rPr>
              <w:t xml:space="preserve">Making Safeguarding Personal </w:t>
            </w:r>
            <w:r w:rsidR="0023655B" w:rsidRPr="006933A3">
              <w:rPr>
                <w:sz w:val="24"/>
                <w:szCs w:val="24"/>
              </w:rPr>
              <w:t>approach</w:t>
            </w:r>
          </w:p>
        </w:tc>
        <w:tc>
          <w:tcPr>
            <w:tcW w:w="2358" w:type="dxa"/>
          </w:tcPr>
          <w:p w:rsidR="0023655B" w:rsidRDefault="0023655B">
            <w:pPr>
              <w:rPr>
                <w:sz w:val="24"/>
                <w:szCs w:val="24"/>
              </w:rPr>
            </w:pPr>
            <w:r>
              <w:rPr>
                <w:sz w:val="24"/>
                <w:szCs w:val="24"/>
              </w:rPr>
              <w:t>Learning &amp; Development Sub Group</w:t>
            </w:r>
          </w:p>
        </w:tc>
        <w:tc>
          <w:tcPr>
            <w:tcW w:w="2274" w:type="dxa"/>
          </w:tcPr>
          <w:p w:rsidR="0023655B" w:rsidRDefault="00011455">
            <w:pPr>
              <w:rPr>
                <w:sz w:val="24"/>
                <w:szCs w:val="24"/>
              </w:rPr>
            </w:pPr>
            <w:r>
              <w:rPr>
                <w:sz w:val="24"/>
                <w:szCs w:val="24"/>
              </w:rPr>
              <w:t>December 2019</w:t>
            </w:r>
          </w:p>
        </w:tc>
        <w:tc>
          <w:tcPr>
            <w:tcW w:w="2355" w:type="dxa"/>
          </w:tcPr>
          <w:p w:rsidR="0023655B" w:rsidRDefault="0023655B">
            <w:pPr>
              <w:rPr>
                <w:sz w:val="24"/>
                <w:szCs w:val="24"/>
              </w:rPr>
            </w:pPr>
            <w:r w:rsidRPr="00822165">
              <w:rPr>
                <w:i/>
                <w:sz w:val="24"/>
                <w:szCs w:val="24"/>
              </w:rPr>
              <w:t>Making Safeguarding Personal</w:t>
            </w:r>
            <w:r>
              <w:rPr>
                <w:sz w:val="24"/>
                <w:szCs w:val="24"/>
              </w:rPr>
              <w:t xml:space="preserve"> approach is embedded in practice across the partnership</w:t>
            </w:r>
          </w:p>
        </w:tc>
        <w:tc>
          <w:tcPr>
            <w:tcW w:w="1905" w:type="dxa"/>
          </w:tcPr>
          <w:p w:rsidR="0023655B" w:rsidRPr="00822165" w:rsidRDefault="0023655B">
            <w:pPr>
              <w:rPr>
                <w:i/>
                <w:sz w:val="24"/>
                <w:szCs w:val="24"/>
              </w:rPr>
            </w:pPr>
          </w:p>
        </w:tc>
      </w:tr>
    </w:tbl>
    <w:p w:rsidR="00BC45D4" w:rsidRDefault="00BC45D4">
      <w:pPr>
        <w:rPr>
          <w:sz w:val="24"/>
          <w:szCs w:val="24"/>
        </w:rPr>
      </w:pPr>
    </w:p>
    <w:p w:rsidR="0023655B" w:rsidRDefault="0023655B">
      <w:pPr>
        <w:rPr>
          <w:sz w:val="24"/>
          <w:szCs w:val="24"/>
        </w:rPr>
      </w:pPr>
    </w:p>
    <w:p w:rsidR="00BC45D4" w:rsidRPr="00E8565C" w:rsidRDefault="00BC45D4">
      <w:pPr>
        <w:rPr>
          <w:b/>
          <w:sz w:val="24"/>
          <w:szCs w:val="24"/>
        </w:rPr>
      </w:pPr>
      <w:r w:rsidRPr="00E8565C">
        <w:rPr>
          <w:b/>
          <w:sz w:val="24"/>
          <w:szCs w:val="24"/>
        </w:rPr>
        <w:t>Priority 4:</w:t>
      </w:r>
    </w:p>
    <w:p w:rsidR="00BC45D4" w:rsidRPr="00E8565C" w:rsidRDefault="00BC45D4">
      <w:pPr>
        <w:rPr>
          <w:b/>
          <w:sz w:val="24"/>
          <w:szCs w:val="24"/>
        </w:rPr>
      </w:pPr>
      <w:r w:rsidRPr="00E8565C">
        <w:rPr>
          <w:b/>
          <w:sz w:val="24"/>
          <w:szCs w:val="24"/>
        </w:rPr>
        <w:t>We will understand how effective adult safeguarding is across Merton to ensure that we identify emerging risks and take action accordingly</w:t>
      </w:r>
    </w:p>
    <w:tbl>
      <w:tblPr>
        <w:tblStyle w:val="TableGrid"/>
        <w:tblW w:w="0" w:type="auto"/>
        <w:tblLook w:val="04A0" w:firstRow="1" w:lastRow="0" w:firstColumn="1" w:lastColumn="0" w:noHBand="0" w:noVBand="1"/>
      </w:tblPr>
      <w:tblGrid>
        <w:gridCol w:w="2434"/>
        <w:gridCol w:w="2315"/>
        <w:gridCol w:w="2276"/>
        <w:gridCol w:w="2417"/>
        <w:gridCol w:w="2345"/>
        <w:gridCol w:w="2161"/>
      </w:tblGrid>
      <w:tr w:rsidR="0023655B" w:rsidTr="0023655B">
        <w:tc>
          <w:tcPr>
            <w:tcW w:w="2389" w:type="dxa"/>
            <w:shd w:val="clear" w:color="auto" w:fill="FFC000"/>
          </w:tcPr>
          <w:p w:rsidR="0023655B" w:rsidRDefault="0023655B">
            <w:pPr>
              <w:rPr>
                <w:sz w:val="24"/>
                <w:szCs w:val="24"/>
              </w:rPr>
            </w:pPr>
            <w:r>
              <w:rPr>
                <w:sz w:val="24"/>
                <w:szCs w:val="24"/>
              </w:rPr>
              <w:t>Outcome</w:t>
            </w:r>
          </w:p>
        </w:tc>
        <w:tc>
          <w:tcPr>
            <w:tcW w:w="2323" w:type="dxa"/>
            <w:shd w:val="clear" w:color="auto" w:fill="FFC000"/>
          </w:tcPr>
          <w:p w:rsidR="0023655B" w:rsidRDefault="0023655B">
            <w:pPr>
              <w:rPr>
                <w:sz w:val="24"/>
                <w:szCs w:val="24"/>
              </w:rPr>
            </w:pPr>
            <w:r>
              <w:rPr>
                <w:sz w:val="24"/>
                <w:szCs w:val="24"/>
              </w:rPr>
              <w:t>Action</w:t>
            </w:r>
          </w:p>
        </w:tc>
        <w:tc>
          <w:tcPr>
            <w:tcW w:w="2283" w:type="dxa"/>
            <w:shd w:val="clear" w:color="auto" w:fill="FFC000"/>
          </w:tcPr>
          <w:p w:rsidR="0023655B" w:rsidRDefault="0023655B">
            <w:pPr>
              <w:rPr>
                <w:sz w:val="24"/>
                <w:szCs w:val="24"/>
              </w:rPr>
            </w:pPr>
            <w:r>
              <w:rPr>
                <w:sz w:val="24"/>
                <w:szCs w:val="24"/>
              </w:rPr>
              <w:t>Lead</w:t>
            </w:r>
          </w:p>
        </w:tc>
        <w:tc>
          <w:tcPr>
            <w:tcW w:w="2427" w:type="dxa"/>
            <w:shd w:val="clear" w:color="auto" w:fill="FFC000"/>
          </w:tcPr>
          <w:p w:rsidR="0023655B" w:rsidRDefault="0023655B">
            <w:pPr>
              <w:rPr>
                <w:sz w:val="24"/>
                <w:szCs w:val="24"/>
              </w:rPr>
            </w:pPr>
            <w:r>
              <w:rPr>
                <w:sz w:val="24"/>
                <w:szCs w:val="24"/>
              </w:rPr>
              <w:t>Timescales</w:t>
            </w:r>
          </w:p>
        </w:tc>
        <w:tc>
          <w:tcPr>
            <w:tcW w:w="2352" w:type="dxa"/>
            <w:shd w:val="clear" w:color="auto" w:fill="FFC000"/>
          </w:tcPr>
          <w:p w:rsidR="0023655B" w:rsidRDefault="0023655B">
            <w:pPr>
              <w:rPr>
                <w:sz w:val="24"/>
                <w:szCs w:val="24"/>
              </w:rPr>
            </w:pPr>
            <w:r>
              <w:rPr>
                <w:sz w:val="24"/>
                <w:szCs w:val="24"/>
              </w:rPr>
              <w:t>Success criteria</w:t>
            </w:r>
          </w:p>
        </w:tc>
        <w:tc>
          <w:tcPr>
            <w:tcW w:w="2174" w:type="dxa"/>
            <w:shd w:val="clear" w:color="auto" w:fill="FFC000"/>
          </w:tcPr>
          <w:p w:rsidR="0023655B" w:rsidRDefault="0023655B">
            <w:pPr>
              <w:rPr>
                <w:sz w:val="24"/>
                <w:szCs w:val="24"/>
              </w:rPr>
            </w:pPr>
            <w:r>
              <w:rPr>
                <w:sz w:val="24"/>
                <w:szCs w:val="24"/>
              </w:rPr>
              <w:t>RAG rating</w:t>
            </w:r>
          </w:p>
        </w:tc>
      </w:tr>
      <w:tr w:rsidR="0023655B" w:rsidTr="0023655B">
        <w:tc>
          <w:tcPr>
            <w:tcW w:w="2389" w:type="dxa"/>
          </w:tcPr>
          <w:p w:rsidR="0023655B" w:rsidRPr="00E66FE2" w:rsidRDefault="000E5174" w:rsidP="00E66FE2">
            <w:pPr>
              <w:pStyle w:val="ListParagraph"/>
              <w:numPr>
                <w:ilvl w:val="0"/>
                <w:numId w:val="12"/>
              </w:numPr>
              <w:rPr>
                <w:sz w:val="24"/>
                <w:szCs w:val="24"/>
              </w:rPr>
            </w:pPr>
            <w:r w:rsidRPr="00E66FE2">
              <w:rPr>
                <w:sz w:val="24"/>
                <w:szCs w:val="24"/>
              </w:rPr>
              <w:t>MSAB has comprehensive data to analyse, inform and monitor safeguarding activity, so that emerging risks are identified and local responses influenced accordingly</w:t>
            </w:r>
          </w:p>
        </w:tc>
        <w:tc>
          <w:tcPr>
            <w:tcW w:w="2323" w:type="dxa"/>
          </w:tcPr>
          <w:p w:rsidR="0023655B" w:rsidRPr="006933A3" w:rsidRDefault="006933A3" w:rsidP="006933A3">
            <w:pPr>
              <w:rPr>
                <w:sz w:val="24"/>
                <w:szCs w:val="24"/>
              </w:rPr>
            </w:pPr>
            <w:r>
              <w:rPr>
                <w:sz w:val="24"/>
                <w:szCs w:val="24"/>
              </w:rPr>
              <w:t xml:space="preserve">1a.  </w:t>
            </w:r>
            <w:r w:rsidR="000E5174" w:rsidRPr="006933A3">
              <w:rPr>
                <w:sz w:val="24"/>
                <w:szCs w:val="24"/>
              </w:rPr>
              <w:t>Establish a Performance &amp; Quality Sub group to lead on the development of appropriate reporting and monitoring systems for MSAB;</w:t>
            </w:r>
          </w:p>
          <w:p w:rsidR="000E5174" w:rsidRDefault="000E5174">
            <w:pPr>
              <w:rPr>
                <w:sz w:val="24"/>
                <w:szCs w:val="24"/>
              </w:rPr>
            </w:pPr>
          </w:p>
          <w:p w:rsidR="000E5174" w:rsidRPr="006933A3" w:rsidRDefault="006933A3" w:rsidP="006933A3">
            <w:pPr>
              <w:rPr>
                <w:sz w:val="24"/>
                <w:szCs w:val="24"/>
              </w:rPr>
            </w:pPr>
            <w:r>
              <w:rPr>
                <w:sz w:val="24"/>
                <w:szCs w:val="24"/>
              </w:rPr>
              <w:t xml:space="preserve">1b.  </w:t>
            </w:r>
            <w:r w:rsidR="000E5174" w:rsidRPr="006933A3">
              <w:rPr>
                <w:sz w:val="24"/>
                <w:szCs w:val="24"/>
              </w:rPr>
              <w:t>All partners regularly provide agreed safeguarding activity data and analysis to the P&amp;Q Sub Group;</w:t>
            </w:r>
          </w:p>
          <w:p w:rsidR="000E5174" w:rsidRDefault="000E5174">
            <w:pPr>
              <w:rPr>
                <w:sz w:val="24"/>
                <w:szCs w:val="24"/>
              </w:rPr>
            </w:pPr>
          </w:p>
          <w:p w:rsidR="000E5174" w:rsidRDefault="000E5174">
            <w:pPr>
              <w:rPr>
                <w:sz w:val="24"/>
                <w:szCs w:val="24"/>
              </w:rPr>
            </w:pPr>
          </w:p>
        </w:tc>
        <w:tc>
          <w:tcPr>
            <w:tcW w:w="2283" w:type="dxa"/>
          </w:tcPr>
          <w:p w:rsidR="0023655B" w:rsidRDefault="000E5174">
            <w:pPr>
              <w:rPr>
                <w:sz w:val="24"/>
                <w:szCs w:val="24"/>
              </w:rPr>
            </w:pPr>
            <w:r>
              <w:rPr>
                <w:sz w:val="24"/>
                <w:szCs w:val="24"/>
              </w:rPr>
              <w:t>Performance &amp; Quality Sub Group</w:t>
            </w:r>
          </w:p>
        </w:tc>
        <w:tc>
          <w:tcPr>
            <w:tcW w:w="2427" w:type="dxa"/>
          </w:tcPr>
          <w:p w:rsidR="0023655B" w:rsidRDefault="00011455">
            <w:pPr>
              <w:rPr>
                <w:sz w:val="24"/>
                <w:szCs w:val="24"/>
              </w:rPr>
            </w:pPr>
            <w:r>
              <w:rPr>
                <w:sz w:val="24"/>
                <w:szCs w:val="24"/>
              </w:rPr>
              <w:t>June 2019</w:t>
            </w:r>
          </w:p>
        </w:tc>
        <w:tc>
          <w:tcPr>
            <w:tcW w:w="2352" w:type="dxa"/>
          </w:tcPr>
          <w:p w:rsidR="0023655B" w:rsidRDefault="000E5174">
            <w:pPr>
              <w:rPr>
                <w:sz w:val="24"/>
                <w:szCs w:val="24"/>
              </w:rPr>
            </w:pPr>
            <w:r>
              <w:rPr>
                <w:sz w:val="24"/>
                <w:szCs w:val="24"/>
              </w:rPr>
              <w:t>P&amp;Q Sub Group established;</w:t>
            </w:r>
          </w:p>
          <w:p w:rsidR="000E5174" w:rsidRDefault="000E5174">
            <w:pPr>
              <w:rPr>
                <w:sz w:val="24"/>
                <w:szCs w:val="24"/>
              </w:rPr>
            </w:pPr>
          </w:p>
          <w:p w:rsidR="000E5174" w:rsidRDefault="000E5174">
            <w:pPr>
              <w:rPr>
                <w:sz w:val="24"/>
                <w:szCs w:val="24"/>
              </w:rPr>
            </w:pPr>
            <w:r>
              <w:rPr>
                <w:sz w:val="24"/>
                <w:szCs w:val="24"/>
              </w:rPr>
              <w:t>MSAB is provided with adult safeguarding data, activity and analysis in a clearly presented and accessible format on a quarterly basis.</w:t>
            </w:r>
          </w:p>
        </w:tc>
        <w:tc>
          <w:tcPr>
            <w:tcW w:w="2174" w:type="dxa"/>
          </w:tcPr>
          <w:p w:rsidR="0023655B" w:rsidRDefault="0023655B">
            <w:pPr>
              <w:rPr>
                <w:sz w:val="24"/>
                <w:szCs w:val="24"/>
              </w:rPr>
            </w:pPr>
          </w:p>
        </w:tc>
      </w:tr>
      <w:tr w:rsidR="0023655B" w:rsidTr="0023655B">
        <w:tc>
          <w:tcPr>
            <w:tcW w:w="2389" w:type="dxa"/>
          </w:tcPr>
          <w:p w:rsidR="0023655B" w:rsidRPr="00E66FE2" w:rsidRDefault="00121968" w:rsidP="00E66FE2">
            <w:pPr>
              <w:pStyle w:val="ListParagraph"/>
              <w:numPr>
                <w:ilvl w:val="0"/>
                <w:numId w:val="12"/>
              </w:numPr>
              <w:rPr>
                <w:sz w:val="24"/>
                <w:szCs w:val="24"/>
              </w:rPr>
            </w:pPr>
            <w:r w:rsidRPr="00E66FE2">
              <w:rPr>
                <w:sz w:val="24"/>
                <w:szCs w:val="24"/>
              </w:rPr>
              <w:lastRenderedPageBreak/>
              <w:t>MSAB is assured of good practice and can inform areas for improvement where required</w:t>
            </w:r>
          </w:p>
        </w:tc>
        <w:tc>
          <w:tcPr>
            <w:tcW w:w="2323" w:type="dxa"/>
          </w:tcPr>
          <w:p w:rsidR="0023655B" w:rsidRPr="006933A3" w:rsidRDefault="006933A3" w:rsidP="006933A3">
            <w:pPr>
              <w:rPr>
                <w:sz w:val="24"/>
                <w:szCs w:val="24"/>
              </w:rPr>
            </w:pPr>
            <w:r>
              <w:rPr>
                <w:sz w:val="24"/>
                <w:szCs w:val="24"/>
              </w:rPr>
              <w:t xml:space="preserve">2a.  </w:t>
            </w:r>
            <w:r w:rsidR="00121968" w:rsidRPr="006933A3">
              <w:rPr>
                <w:sz w:val="24"/>
                <w:szCs w:val="24"/>
              </w:rPr>
              <w:t xml:space="preserve">Agree and establish a programme of </w:t>
            </w:r>
            <w:r w:rsidR="00816DC0">
              <w:rPr>
                <w:sz w:val="24"/>
                <w:szCs w:val="24"/>
              </w:rPr>
              <w:t xml:space="preserve">‘deep dive’ </w:t>
            </w:r>
            <w:r w:rsidR="00121968" w:rsidRPr="006933A3">
              <w:rPr>
                <w:sz w:val="24"/>
                <w:szCs w:val="24"/>
              </w:rPr>
              <w:t xml:space="preserve">practice audits across the partnership, including the application of </w:t>
            </w:r>
            <w:r w:rsidR="00121968" w:rsidRPr="006933A3">
              <w:rPr>
                <w:i/>
                <w:sz w:val="24"/>
                <w:szCs w:val="24"/>
              </w:rPr>
              <w:t>Making Safeguarding Personal</w:t>
            </w:r>
            <w:r w:rsidR="00121968" w:rsidRPr="006933A3">
              <w:rPr>
                <w:sz w:val="24"/>
                <w:szCs w:val="24"/>
              </w:rPr>
              <w:t xml:space="preserve"> principles.</w:t>
            </w:r>
          </w:p>
        </w:tc>
        <w:tc>
          <w:tcPr>
            <w:tcW w:w="2283" w:type="dxa"/>
          </w:tcPr>
          <w:p w:rsidR="0023655B" w:rsidRDefault="00121968">
            <w:pPr>
              <w:rPr>
                <w:sz w:val="24"/>
                <w:szCs w:val="24"/>
              </w:rPr>
            </w:pPr>
            <w:r>
              <w:rPr>
                <w:sz w:val="24"/>
                <w:szCs w:val="24"/>
              </w:rPr>
              <w:t>Performance &amp; Quality Sub Group</w:t>
            </w:r>
          </w:p>
        </w:tc>
        <w:tc>
          <w:tcPr>
            <w:tcW w:w="2427" w:type="dxa"/>
          </w:tcPr>
          <w:p w:rsidR="0023655B" w:rsidRDefault="00011455">
            <w:pPr>
              <w:rPr>
                <w:sz w:val="24"/>
                <w:szCs w:val="24"/>
              </w:rPr>
            </w:pPr>
            <w:r>
              <w:rPr>
                <w:sz w:val="24"/>
                <w:szCs w:val="24"/>
              </w:rPr>
              <w:t>September 2019</w:t>
            </w:r>
          </w:p>
        </w:tc>
        <w:tc>
          <w:tcPr>
            <w:tcW w:w="2352" w:type="dxa"/>
          </w:tcPr>
          <w:p w:rsidR="0023655B" w:rsidRDefault="00121968">
            <w:pPr>
              <w:rPr>
                <w:sz w:val="24"/>
                <w:szCs w:val="24"/>
              </w:rPr>
            </w:pPr>
            <w:r>
              <w:rPr>
                <w:sz w:val="24"/>
                <w:szCs w:val="24"/>
              </w:rPr>
              <w:t>Programme of</w:t>
            </w:r>
            <w:r w:rsidR="00816DC0">
              <w:rPr>
                <w:sz w:val="24"/>
                <w:szCs w:val="24"/>
              </w:rPr>
              <w:t xml:space="preserve"> ‘deep dive’ </w:t>
            </w:r>
            <w:r>
              <w:rPr>
                <w:sz w:val="24"/>
                <w:szCs w:val="24"/>
              </w:rPr>
              <w:t xml:space="preserve"> practice audits established.</w:t>
            </w:r>
          </w:p>
        </w:tc>
        <w:tc>
          <w:tcPr>
            <w:tcW w:w="2174" w:type="dxa"/>
          </w:tcPr>
          <w:p w:rsidR="0023655B" w:rsidRDefault="0023655B">
            <w:pPr>
              <w:rPr>
                <w:sz w:val="24"/>
                <w:szCs w:val="24"/>
              </w:rPr>
            </w:pPr>
          </w:p>
        </w:tc>
      </w:tr>
      <w:tr w:rsidR="0023655B" w:rsidTr="0023655B">
        <w:tc>
          <w:tcPr>
            <w:tcW w:w="2389" w:type="dxa"/>
          </w:tcPr>
          <w:p w:rsidR="0023655B" w:rsidRPr="00E66FE2" w:rsidRDefault="00121968" w:rsidP="00E66FE2">
            <w:pPr>
              <w:pStyle w:val="ListParagraph"/>
              <w:numPr>
                <w:ilvl w:val="0"/>
                <w:numId w:val="12"/>
              </w:numPr>
              <w:rPr>
                <w:sz w:val="24"/>
                <w:szCs w:val="24"/>
              </w:rPr>
            </w:pPr>
            <w:r w:rsidRPr="00E66FE2">
              <w:rPr>
                <w:sz w:val="24"/>
                <w:szCs w:val="24"/>
              </w:rPr>
              <w:t>MSAB is assured that local arrangements to support and minimise risks for people who self-neglect are effective</w:t>
            </w:r>
          </w:p>
        </w:tc>
        <w:tc>
          <w:tcPr>
            <w:tcW w:w="2323" w:type="dxa"/>
          </w:tcPr>
          <w:p w:rsidR="0023655B" w:rsidRPr="006933A3" w:rsidRDefault="006933A3" w:rsidP="006933A3">
            <w:pPr>
              <w:rPr>
                <w:sz w:val="24"/>
                <w:szCs w:val="24"/>
              </w:rPr>
            </w:pPr>
            <w:r>
              <w:rPr>
                <w:sz w:val="24"/>
                <w:szCs w:val="24"/>
              </w:rPr>
              <w:t xml:space="preserve">3a.  </w:t>
            </w:r>
            <w:r w:rsidR="00121968" w:rsidRPr="006933A3">
              <w:rPr>
                <w:sz w:val="24"/>
                <w:szCs w:val="24"/>
              </w:rPr>
              <w:t>Review undertaken to inform the Board of the prevalence of self-neglect cases reported under the safeguarding framework, and outcomes for the individual;</w:t>
            </w:r>
          </w:p>
          <w:p w:rsidR="00121968" w:rsidRDefault="00121968">
            <w:pPr>
              <w:rPr>
                <w:sz w:val="24"/>
                <w:szCs w:val="24"/>
              </w:rPr>
            </w:pPr>
          </w:p>
          <w:p w:rsidR="00121968" w:rsidRPr="006933A3" w:rsidRDefault="006933A3" w:rsidP="006933A3">
            <w:pPr>
              <w:rPr>
                <w:sz w:val="24"/>
                <w:szCs w:val="24"/>
              </w:rPr>
            </w:pPr>
            <w:r>
              <w:rPr>
                <w:sz w:val="24"/>
                <w:szCs w:val="24"/>
              </w:rPr>
              <w:t xml:space="preserve">3b.  </w:t>
            </w:r>
            <w:r w:rsidR="00121968" w:rsidRPr="006933A3">
              <w:rPr>
                <w:sz w:val="24"/>
                <w:szCs w:val="24"/>
              </w:rPr>
              <w:t xml:space="preserve">Partner agencies have clear policies and procedures in place to manage and support those who self-neglect or choose not to </w:t>
            </w:r>
            <w:r w:rsidR="00121968" w:rsidRPr="006933A3">
              <w:rPr>
                <w:sz w:val="24"/>
                <w:szCs w:val="24"/>
              </w:rPr>
              <w:lastRenderedPageBreak/>
              <w:t>engage, in line with Making Safeguarding Personal and Duty of Care</w:t>
            </w:r>
          </w:p>
          <w:p w:rsidR="00121968" w:rsidRDefault="00121968">
            <w:pPr>
              <w:rPr>
                <w:sz w:val="24"/>
                <w:szCs w:val="24"/>
              </w:rPr>
            </w:pPr>
          </w:p>
          <w:p w:rsidR="00121968" w:rsidRDefault="00121968">
            <w:pPr>
              <w:rPr>
                <w:sz w:val="24"/>
                <w:szCs w:val="24"/>
              </w:rPr>
            </w:pPr>
          </w:p>
        </w:tc>
        <w:tc>
          <w:tcPr>
            <w:tcW w:w="2283" w:type="dxa"/>
          </w:tcPr>
          <w:p w:rsidR="0023655B" w:rsidRDefault="00121968">
            <w:pPr>
              <w:rPr>
                <w:sz w:val="24"/>
                <w:szCs w:val="24"/>
              </w:rPr>
            </w:pPr>
            <w:r>
              <w:rPr>
                <w:sz w:val="24"/>
                <w:szCs w:val="24"/>
              </w:rPr>
              <w:lastRenderedPageBreak/>
              <w:t>Effectiveness Sub Group</w:t>
            </w:r>
          </w:p>
          <w:p w:rsidR="00121968" w:rsidRDefault="00121968">
            <w:pPr>
              <w:rPr>
                <w:sz w:val="24"/>
                <w:szCs w:val="24"/>
              </w:rPr>
            </w:pPr>
          </w:p>
          <w:p w:rsidR="00121968" w:rsidRDefault="00121968">
            <w:pPr>
              <w:rPr>
                <w:sz w:val="24"/>
                <w:szCs w:val="24"/>
              </w:rPr>
            </w:pPr>
          </w:p>
          <w:p w:rsidR="00121968" w:rsidRDefault="00121968">
            <w:pPr>
              <w:rPr>
                <w:sz w:val="24"/>
                <w:szCs w:val="24"/>
              </w:rPr>
            </w:pPr>
          </w:p>
          <w:p w:rsidR="00121968" w:rsidRDefault="00121968">
            <w:pPr>
              <w:rPr>
                <w:sz w:val="24"/>
                <w:szCs w:val="24"/>
              </w:rPr>
            </w:pPr>
          </w:p>
          <w:p w:rsidR="00121968" w:rsidRDefault="00121968">
            <w:pPr>
              <w:rPr>
                <w:sz w:val="24"/>
                <w:szCs w:val="24"/>
              </w:rPr>
            </w:pPr>
          </w:p>
          <w:p w:rsidR="00121968" w:rsidRDefault="00121968">
            <w:pPr>
              <w:rPr>
                <w:sz w:val="24"/>
                <w:szCs w:val="24"/>
              </w:rPr>
            </w:pPr>
          </w:p>
          <w:p w:rsidR="00121968" w:rsidRDefault="00121968">
            <w:pPr>
              <w:rPr>
                <w:sz w:val="24"/>
                <w:szCs w:val="24"/>
              </w:rPr>
            </w:pPr>
          </w:p>
          <w:p w:rsidR="00121968" w:rsidRDefault="00121968">
            <w:pPr>
              <w:rPr>
                <w:sz w:val="24"/>
                <w:szCs w:val="24"/>
              </w:rPr>
            </w:pPr>
          </w:p>
          <w:p w:rsidR="00121968" w:rsidRDefault="00121968">
            <w:pPr>
              <w:rPr>
                <w:sz w:val="24"/>
                <w:szCs w:val="24"/>
              </w:rPr>
            </w:pPr>
            <w:r>
              <w:rPr>
                <w:sz w:val="24"/>
                <w:szCs w:val="24"/>
              </w:rPr>
              <w:t>Partner agencies</w:t>
            </w:r>
          </w:p>
        </w:tc>
        <w:tc>
          <w:tcPr>
            <w:tcW w:w="2427" w:type="dxa"/>
          </w:tcPr>
          <w:p w:rsidR="0023655B" w:rsidRDefault="00011455">
            <w:pPr>
              <w:rPr>
                <w:sz w:val="24"/>
                <w:szCs w:val="24"/>
              </w:rPr>
            </w:pPr>
            <w:r>
              <w:rPr>
                <w:sz w:val="24"/>
                <w:szCs w:val="24"/>
              </w:rPr>
              <w:t>December 2019</w:t>
            </w:r>
          </w:p>
        </w:tc>
        <w:tc>
          <w:tcPr>
            <w:tcW w:w="2352" w:type="dxa"/>
          </w:tcPr>
          <w:p w:rsidR="00121968" w:rsidRDefault="00121968">
            <w:pPr>
              <w:rPr>
                <w:sz w:val="24"/>
                <w:szCs w:val="24"/>
              </w:rPr>
            </w:pPr>
            <w:r>
              <w:rPr>
                <w:sz w:val="24"/>
                <w:szCs w:val="24"/>
              </w:rPr>
              <w:t xml:space="preserve">MSAB understands how cases of self-neglect are responded to and identifies areas for </w:t>
            </w:r>
          </w:p>
          <w:p w:rsidR="0023655B" w:rsidRDefault="00121968">
            <w:pPr>
              <w:rPr>
                <w:sz w:val="24"/>
                <w:szCs w:val="24"/>
              </w:rPr>
            </w:pPr>
            <w:r>
              <w:rPr>
                <w:sz w:val="24"/>
                <w:szCs w:val="24"/>
              </w:rPr>
              <w:t>further development;</w:t>
            </w:r>
          </w:p>
          <w:p w:rsidR="00121968" w:rsidRDefault="00121968">
            <w:pPr>
              <w:rPr>
                <w:sz w:val="24"/>
                <w:szCs w:val="24"/>
              </w:rPr>
            </w:pPr>
          </w:p>
          <w:p w:rsidR="00121968" w:rsidRDefault="00121968">
            <w:pPr>
              <w:rPr>
                <w:sz w:val="24"/>
                <w:szCs w:val="24"/>
              </w:rPr>
            </w:pPr>
          </w:p>
          <w:p w:rsidR="00121968" w:rsidRDefault="00121968">
            <w:pPr>
              <w:rPr>
                <w:sz w:val="24"/>
                <w:szCs w:val="24"/>
              </w:rPr>
            </w:pPr>
          </w:p>
          <w:p w:rsidR="00121968" w:rsidRDefault="00121968">
            <w:pPr>
              <w:rPr>
                <w:sz w:val="24"/>
                <w:szCs w:val="24"/>
              </w:rPr>
            </w:pPr>
          </w:p>
          <w:p w:rsidR="00121968" w:rsidRDefault="00121968">
            <w:pPr>
              <w:rPr>
                <w:sz w:val="24"/>
                <w:szCs w:val="24"/>
              </w:rPr>
            </w:pPr>
            <w:r>
              <w:rPr>
                <w:sz w:val="24"/>
                <w:szCs w:val="24"/>
              </w:rPr>
              <w:t>MSAB is assured that each agency has clear policies and procedures to manage cases of self-neglect.</w:t>
            </w:r>
          </w:p>
        </w:tc>
        <w:tc>
          <w:tcPr>
            <w:tcW w:w="2174" w:type="dxa"/>
          </w:tcPr>
          <w:p w:rsidR="0023655B" w:rsidRDefault="0023655B">
            <w:pPr>
              <w:rPr>
                <w:sz w:val="24"/>
                <w:szCs w:val="24"/>
              </w:rPr>
            </w:pPr>
          </w:p>
        </w:tc>
      </w:tr>
    </w:tbl>
    <w:p w:rsidR="00BC45D4" w:rsidRPr="00147C88" w:rsidRDefault="00BC45D4">
      <w:pPr>
        <w:rPr>
          <w:sz w:val="24"/>
          <w:szCs w:val="24"/>
        </w:rPr>
      </w:pPr>
    </w:p>
    <w:sectPr w:rsidR="00BC45D4" w:rsidRPr="00147C88" w:rsidSect="00B574E7">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B0C" w:rsidRDefault="00360B0C" w:rsidP="00BC45D4">
      <w:pPr>
        <w:spacing w:after="0" w:line="240" w:lineRule="auto"/>
      </w:pPr>
      <w:r>
        <w:separator/>
      </w:r>
    </w:p>
  </w:endnote>
  <w:endnote w:type="continuationSeparator" w:id="0">
    <w:p w:rsidR="00360B0C" w:rsidRDefault="00360B0C" w:rsidP="00BC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60" w:rsidRDefault="00E42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361264"/>
      <w:docPartObj>
        <w:docPartGallery w:val="Page Numbers (Bottom of Page)"/>
        <w:docPartUnique/>
      </w:docPartObj>
    </w:sdtPr>
    <w:sdtEndPr>
      <w:rPr>
        <w:noProof/>
      </w:rPr>
    </w:sdtEndPr>
    <w:sdtContent>
      <w:p w:rsidR="003858F1" w:rsidRDefault="003858F1">
        <w:pPr>
          <w:pStyle w:val="Footer"/>
          <w:jc w:val="right"/>
        </w:pPr>
        <w:r>
          <w:fldChar w:fldCharType="begin"/>
        </w:r>
        <w:r>
          <w:instrText xml:space="preserve"> PAGE   \* MERGEFORMAT </w:instrText>
        </w:r>
        <w:r>
          <w:fldChar w:fldCharType="separate"/>
        </w:r>
        <w:r w:rsidR="00E8565C">
          <w:rPr>
            <w:noProof/>
          </w:rPr>
          <w:t>1</w:t>
        </w:r>
        <w:r>
          <w:rPr>
            <w:noProof/>
          </w:rPr>
          <w:fldChar w:fldCharType="end"/>
        </w:r>
      </w:p>
    </w:sdtContent>
  </w:sdt>
  <w:p w:rsidR="003858F1" w:rsidRDefault="00385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60" w:rsidRDefault="00E42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B0C" w:rsidRDefault="00360B0C" w:rsidP="00BC45D4">
      <w:pPr>
        <w:spacing w:after="0" w:line="240" w:lineRule="auto"/>
      </w:pPr>
      <w:r>
        <w:separator/>
      </w:r>
    </w:p>
  </w:footnote>
  <w:footnote w:type="continuationSeparator" w:id="0">
    <w:p w:rsidR="00360B0C" w:rsidRDefault="00360B0C" w:rsidP="00BC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60" w:rsidRDefault="00E42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F1" w:rsidRDefault="00E42660">
    <w:pPr>
      <w:pStyle w:val="Header"/>
    </w:pPr>
    <w:r>
      <w:rPr>
        <w:noProof/>
        <w:lang w:eastAsia="en-GB"/>
      </w:rPr>
      <w:drawing>
        <wp:inline distT="0" distB="0" distL="0" distR="0" wp14:anchorId="6FC92938" wp14:editId="133F3D56">
          <wp:extent cx="16954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42950"/>
                  </a:xfrm>
                  <a:prstGeom prst="rect">
                    <a:avLst/>
                  </a:prstGeom>
                  <a:noFill/>
                </pic:spPr>
              </pic:pic>
            </a:graphicData>
          </a:graphic>
        </wp:inline>
      </w:drawing>
    </w:r>
    <w:r w:rsidR="00575D24">
      <w:tab/>
      <w:t>Teresa Bell</w:t>
    </w:r>
    <w:r w:rsidR="00E8565C">
      <w:t>-Independent Chair MSAB</w:t>
    </w:r>
    <w:bookmarkStart w:id="0" w:name="_GoBack"/>
    <w:bookmarkEnd w:id="0"/>
    <w:r w:rsidR="00575D24">
      <w:tab/>
    </w:r>
    <w:r w:rsidR="00575D24">
      <w:tab/>
      <w:t>26</w:t>
    </w:r>
    <w:r w:rsidR="00737E6E">
      <w:t>.03.19</w:t>
    </w:r>
  </w:p>
  <w:p w:rsidR="003858F1" w:rsidRDefault="00385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60" w:rsidRDefault="00E42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2CE"/>
    <w:multiLevelType w:val="hybridMultilevel"/>
    <w:tmpl w:val="306E4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B50B2"/>
    <w:multiLevelType w:val="hybridMultilevel"/>
    <w:tmpl w:val="7E502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B151A"/>
    <w:multiLevelType w:val="hybridMultilevel"/>
    <w:tmpl w:val="884C4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865F8"/>
    <w:multiLevelType w:val="hybridMultilevel"/>
    <w:tmpl w:val="BEECD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73385"/>
    <w:multiLevelType w:val="hybridMultilevel"/>
    <w:tmpl w:val="80F22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AA2DBA"/>
    <w:multiLevelType w:val="hybridMultilevel"/>
    <w:tmpl w:val="C3B0C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D74E6"/>
    <w:multiLevelType w:val="hybridMultilevel"/>
    <w:tmpl w:val="EAFA3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537C05"/>
    <w:multiLevelType w:val="hybridMultilevel"/>
    <w:tmpl w:val="F90E5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080AAC"/>
    <w:multiLevelType w:val="hybridMultilevel"/>
    <w:tmpl w:val="6656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5575F2"/>
    <w:multiLevelType w:val="hybridMultilevel"/>
    <w:tmpl w:val="FCF27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8D5CF0"/>
    <w:multiLevelType w:val="hybridMultilevel"/>
    <w:tmpl w:val="D28AB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9818B6"/>
    <w:multiLevelType w:val="hybridMultilevel"/>
    <w:tmpl w:val="61BE5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F20C0F"/>
    <w:multiLevelType w:val="hybridMultilevel"/>
    <w:tmpl w:val="54BAC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0F61D3"/>
    <w:multiLevelType w:val="hybridMultilevel"/>
    <w:tmpl w:val="C5A03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F3109C"/>
    <w:multiLevelType w:val="hybridMultilevel"/>
    <w:tmpl w:val="576E8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001A26"/>
    <w:multiLevelType w:val="hybridMultilevel"/>
    <w:tmpl w:val="161EC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2"/>
  </w:num>
  <w:num w:numId="5">
    <w:abstractNumId w:val="6"/>
  </w:num>
  <w:num w:numId="6">
    <w:abstractNumId w:val="9"/>
  </w:num>
  <w:num w:numId="7">
    <w:abstractNumId w:val="7"/>
  </w:num>
  <w:num w:numId="8">
    <w:abstractNumId w:val="1"/>
  </w:num>
  <w:num w:numId="9">
    <w:abstractNumId w:val="14"/>
  </w:num>
  <w:num w:numId="10">
    <w:abstractNumId w:val="4"/>
  </w:num>
  <w:num w:numId="11">
    <w:abstractNumId w:val="5"/>
  </w:num>
  <w:num w:numId="12">
    <w:abstractNumId w:val="10"/>
  </w:num>
  <w:num w:numId="13">
    <w:abstractNumId w:val="15"/>
  </w:num>
  <w:num w:numId="14">
    <w:abstractNumId w:val="3"/>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D8"/>
    <w:rsid w:val="00011455"/>
    <w:rsid w:val="000D274B"/>
    <w:rsid w:val="000D331F"/>
    <w:rsid w:val="000E5174"/>
    <w:rsid w:val="00121968"/>
    <w:rsid w:val="001432FF"/>
    <w:rsid w:val="00147C88"/>
    <w:rsid w:val="001A37F1"/>
    <w:rsid w:val="001F37AA"/>
    <w:rsid w:val="001F54BD"/>
    <w:rsid w:val="0023655B"/>
    <w:rsid w:val="002E135F"/>
    <w:rsid w:val="002E2F4C"/>
    <w:rsid w:val="00360B0C"/>
    <w:rsid w:val="003858F1"/>
    <w:rsid w:val="004D7CEA"/>
    <w:rsid w:val="00575D24"/>
    <w:rsid w:val="006933A3"/>
    <w:rsid w:val="00727395"/>
    <w:rsid w:val="00737E6E"/>
    <w:rsid w:val="00816DC0"/>
    <w:rsid w:val="00822165"/>
    <w:rsid w:val="008C22D5"/>
    <w:rsid w:val="009A64DB"/>
    <w:rsid w:val="00A128BE"/>
    <w:rsid w:val="00B24D7E"/>
    <w:rsid w:val="00B551D8"/>
    <w:rsid w:val="00B574E7"/>
    <w:rsid w:val="00BC45D4"/>
    <w:rsid w:val="00DB58F4"/>
    <w:rsid w:val="00E42660"/>
    <w:rsid w:val="00E51450"/>
    <w:rsid w:val="00E66FE2"/>
    <w:rsid w:val="00E8565C"/>
    <w:rsid w:val="00FE242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5ECDF"/>
  <w15:docId w15:val="{71B89734-457F-4635-AB9C-D30B38E7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5D4"/>
    <w:pPr>
      <w:ind w:left="720"/>
      <w:contextualSpacing/>
    </w:pPr>
  </w:style>
  <w:style w:type="paragraph" w:styleId="Header">
    <w:name w:val="header"/>
    <w:basedOn w:val="Normal"/>
    <w:link w:val="HeaderChar"/>
    <w:uiPriority w:val="99"/>
    <w:unhideWhenUsed/>
    <w:rsid w:val="00BC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5D4"/>
  </w:style>
  <w:style w:type="paragraph" w:styleId="Footer">
    <w:name w:val="footer"/>
    <w:basedOn w:val="Normal"/>
    <w:link w:val="FooterChar"/>
    <w:uiPriority w:val="99"/>
    <w:unhideWhenUsed/>
    <w:rsid w:val="00BC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5D4"/>
  </w:style>
  <w:style w:type="character" w:styleId="CommentReference">
    <w:name w:val="annotation reference"/>
    <w:basedOn w:val="DefaultParagraphFont"/>
    <w:uiPriority w:val="99"/>
    <w:semiHidden/>
    <w:unhideWhenUsed/>
    <w:rsid w:val="00B574E7"/>
    <w:rPr>
      <w:sz w:val="16"/>
      <w:szCs w:val="16"/>
    </w:rPr>
  </w:style>
  <w:style w:type="paragraph" w:styleId="CommentText">
    <w:name w:val="annotation text"/>
    <w:basedOn w:val="Normal"/>
    <w:link w:val="CommentTextChar"/>
    <w:uiPriority w:val="99"/>
    <w:semiHidden/>
    <w:unhideWhenUsed/>
    <w:rsid w:val="00B574E7"/>
    <w:pPr>
      <w:spacing w:line="240" w:lineRule="auto"/>
    </w:pPr>
    <w:rPr>
      <w:sz w:val="20"/>
      <w:szCs w:val="20"/>
    </w:rPr>
  </w:style>
  <w:style w:type="character" w:customStyle="1" w:styleId="CommentTextChar">
    <w:name w:val="Comment Text Char"/>
    <w:basedOn w:val="DefaultParagraphFont"/>
    <w:link w:val="CommentText"/>
    <w:uiPriority w:val="99"/>
    <w:semiHidden/>
    <w:rsid w:val="00B574E7"/>
    <w:rPr>
      <w:sz w:val="20"/>
      <w:szCs w:val="20"/>
    </w:rPr>
  </w:style>
  <w:style w:type="paragraph" w:styleId="CommentSubject">
    <w:name w:val="annotation subject"/>
    <w:basedOn w:val="CommentText"/>
    <w:next w:val="CommentText"/>
    <w:link w:val="CommentSubjectChar"/>
    <w:uiPriority w:val="99"/>
    <w:semiHidden/>
    <w:unhideWhenUsed/>
    <w:rsid w:val="00B574E7"/>
    <w:rPr>
      <w:b/>
      <w:bCs/>
    </w:rPr>
  </w:style>
  <w:style w:type="character" w:customStyle="1" w:styleId="CommentSubjectChar">
    <w:name w:val="Comment Subject Char"/>
    <w:basedOn w:val="CommentTextChar"/>
    <w:link w:val="CommentSubject"/>
    <w:uiPriority w:val="99"/>
    <w:semiHidden/>
    <w:rsid w:val="00B574E7"/>
    <w:rPr>
      <w:b/>
      <w:bCs/>
      <w:sz w:val="20"/>
      <w:szCs w:val="20"/>
    </w:rPr>
  </w:style>
  <w:style w:type="paragraph" w:styleId="BalloonText">
    <w:name w:val="Balloon Text"/>
    <w:basedOn w:val="Normal"/>
    <w:link w:val="BalloonTextChar"/>
    <w:uiPriority w:val="99"/>
    <w:semiHidden/>
    <w:unhideWhenUsed/>
    <w:rsid w:val="00B57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D302F-061E-45ED-86CD-0F2031F9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Bell</dc:creator>
  <cp:lastModifiedBy>Sarah O'Connor</cp:lastModifiedBy>
  <cp:revision>2</cp:revision>
  <dcterms:created xsi:type="dcterms:W3CDTF">2019-12-03T11:18:00Z</dcterms:created>
  <dcterms:modified xsi:type="dcterms:W3CDTF">2019-12-03T11:18:00Z</dcterms:modified>
</cp:coreProperties>
</file>